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D27B">
      <w:pPr>
        <w:tabs>
          <w:tab w:val="left" w:pos="840"/>
        </w:tabs>
        <w:rPr>
          <w:b/>
          <w:bCs/>
          <w:sz w:val="32"/>
          <w:szCs w:val="32"/>
        </w:rPr>
      </w:pPr>
    </w:p>
    <w:p w14:paraId="7C7D2C19">
      <w:pPr>
        <w:rPr>
          <w:b/>
          <w:bCs/>
          <w:sz w:val="32"/>
          <w:szCs w:val="32"/>
        </w:rPr>
      </w:pPr>
      <w:r>
        <w:rPr>
          <w:b/>
          <w:bCs/>
          <w:sz w:val="32"/>
          <w:szCs w:val="32"/>
        </w:rPr>
        <w:pict>
          <v:shape id="Text Box 2" o:spid="_x0000_s2050" o:spt="202" type="#_x0000_t202" style="position:absolute;left:0pt;margin-left:278.5pt;margin-top:8.7pt;height:60.9pt;width:136.25pt;z-index:251662336;mso-width-relative:page;mso-height-relative:page;"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">
            <v:path/>
            <v:fill focussize="0,0"/>
            <v:stroke on="f" joinstyle="miter"/>
            <v:imagedata o:title=""/>
            <o:lock v:ext="edit"/>
            <v:textbox inset="7.19992125984252pt,1.27mm,7.19992125984252pt,1.27mm">
              <w:txbxContent>
                <w:p w14:paraId="1C743F61">
                  <w:r>
                    <w:rPr>
                      <w:rFonts w:hint="eastAsia"/>
                    </w:rPr>
                    <w:t>受控</w:t>
                  </w:r>
                </w:p>
                <w:p w14:paraId="1A311E64">
                  <w:pPr>
                    <w:rPr>
                      <w:rFonts w:hint="eastAsia" w:eastAsia="宋体"/>
                      <w:lang w:eastAsia="zh-CN"/>
                    </w:rPr>
                  </w:pPr>
                  <w:r>
                    <w:rPr>
                      <w:rFonts w:hint="eastAsia"/>
                    </w:rPr>
                    <w:t>受控号：</w:t>
                  </w:r>
                  <w:r>
                    <w:rPr>
                      <w:rFonts w:hint="eastAsia"/>
                      <w:u w:val="single"/>
                    </w:rPr>
                    <w:t>40-ZN-0001-07.</w:t>
                  </w:r>
                  <w:r>
                    <w:rPr>
                      <w:rFonts w:hint="eastAsia"/>
                      <w:u w:val="single"/>
                      <w:lang w:val="en-US" w:eastAsia="zh-CN"/>
                    </w:rPr>
                    <w:t>2</w:t>
                  </w:r>
                </w:p>
                <w:p w14:paraId="5696C538">
                  <w:r>
                    <w:rPr>
                      <w:rFonts w:hint="eastAsia"/>
                    </w:rPr>
                    <w:t>受控日期：____________</w:t>
                  </w:r>
                </w:p>
              </w:txbxContent>
            </v:textbox>
          </v:shape>
        </w:pict>
      </w:r>
      <w:r>
        <w:rPr>
          <w:rFonts w:hint="eastAsia"/>
          <w:b/>
          <w:bCs/>
          <w:sz w:val="32"/>
          <w:szCs w:val="32"/>
        </w:rPr>
        <w:t>　</w:t>
      </w:r>
      <w:r>
        <w:rPr>
          <w:rFonts w:hint="eastAsia"/>
          <w:b/>
          <w:bCs/>
          <w:sz w:val="32"/>
          <w:szCs w:val="32"/>
          <w:lang w:val="en-US" w:eastAsia="zh-CN"/>
        </w:rPr>
        <w:t xml:space="preserve">   </w:t>
      </w:r>
      <w:r>
        <w:rPr>
          <w:rFonts w:hint="eastAsia"/>
          <w:b/>
          <w:bCs/>
          <w:sz w:val="32"/>
          <w:szCs w:val="32"/>
        </w:rPr>
        <w:t>江苏省疾病预防控制中心</w:t>
      </w:r>
    </w:p>
    <w:p w14:paraId="6E3BE161">
      <w:pPr>
        <w:rPr>
          <w:b/>
          <w:bCs/>
          <w:sz w:val="32"/>
          <w:szCs w:val="32"/>
        </w:rPr>
      </w:pPr>
      <w:r>
        <w:rPr>
          <w:rFonts w:hint="eastAsia"/>
          <w:b/>
          <w:bCs/>
          <w:sz w:val="32"/>
          <w:szCs w:val="32"/>
        </w:rPr>
        <w:t>　　</w:t>
      </w:r>
      <w:r>
        <w:rPr>
          <w:rFonts w:hint="eastAsia"/>
          <w:b/>
          <w:bCs/>
          <w:sz w:val="32"/>
          <w:szCs w:val="32"/>
          <w:lang w:val="en-US" w:eastAsia="zh-CN"/>
        </w:rPr>
        <w:t xml:space="preserve">   </w:t>
      </w:r>
      <w:r>
        <w:rPr>
          <w:rFonts w:hint="eastAsia"/>
          <w:b/>
          <w:bCs/>
          <w:sz w:val="32"/>
          <w:szCs w:val="32"/>
        </w:rPr>
        <w:t>伦理审查委员会指南</w:t>
      </w:r>
    </w:p>
    <w:p w14:paraId="2DEA4EBA">
      <w:pPr>
        <w:rPr>
          <w:b/>
          <w:bCs/>
          <w:sz w:val="32"/>
          <w:szCs w:val="32"/>
        </w:rPr>
      </w:pPr>
    </w:p>
    <w:p w14:paraId="6266E84E">
      <w:pPr>
        <w:jc w:val="center"/>
        <w:rPr>
          <w:rFonts w:ascii="黑体" w:hAnsi="黑体" w:eastAsia="黑体" w:cs="黑体"/>
          <w:b/>
          <w:bCs/>
          <w:sz w:val="32"/>
          <w:szCs w:val="32"/>
        </w:rPr>
      </w:pPr>
      <w:r>
        <w:rPr>
          <w:rFonts w:hint="eastAsia" w:ascii="黑体" w:hAnsi="黑体" w:eastAsia="黑体" w:cs="黑体"/>
          <w:b/>
          <w:bCs/>
          <w:sz w:val="32"/>
          <w:szCs w:val="32"/>
        </w:rPr>
        <w:t>标题：伦理审查申请/报告指南</w:t>
      </w: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14:paraId="0592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0EE21E8F">
            <w:pPr>
              <w:rPr>
                <w:rFonts w:hint="eastAsia" w:eastAsia="宋体"/>
                <w:sz w:val="28"/>
                <w:szCs w:val="28"/>
                <w:lang w:eastAsia="zh-CN"/>
              </w:rPr>
            </w:pPr>
            <w:r>
              <w:rPr>
                <w:sz w:val="28"/>
                <w:szCs w:val="28"/>
              </w:rPr>
              <w:t>文件编号：</w:t>
            </w:r>
            <w:r>
              <w:rPr>
                <w:sz w:val="24"/>
                <w:szCs w:val="28"/>
              </w:rPr>
              <w:t>ZN-GEL/YW/LS01-V0</w:t>
            </w:r>
            <w:r>
              <w:rPr>
                <w:rFonts w:hint="eastAsia"/>
                <w:sz w:val="24"/>
                <w:szCs w:val="28"/>
              </w:rPr>
              <w:t>7.</w:t>
            </w:r>
            <w:r>
              <w:rPr>
                <w:rFonts w:hint="eastAsia"/>
                <w:sz w:val="24"/>
                <w:szCs w:val="28"/>
                <w:lang w:val="en-US" w:eastAsia="zh-CN"/>
              </w:rPr>
              <w:t>2</w:t>
            </w:r>
          </w:p>
        </w:tc>
      </w:tr>
      <w:tr w14:paraId="5968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Borders>
              <w:top w:val="single" w:color="auto" w:sz="4" w:space="0"/>
              <w:left w:val="single" w:color="auto" w:sz="4" w:space="0"/>
              <w:bottom w:val="single" w:color="auto" w:sz="4" w:space="0"/>
              <w:right w:val="single" w:color="auto" w:sz="4" w:space="0"/>
            </w:tcBorders>
          </w:tcPr>
          <w:p w14:paraId="01E0513E">
            <w:pPr>
              <w:rPr>
                <w:sz w:val="28"/>
                <w:szCs w:val="28"/>
              </w:rPr>
            </w:pPr>
            <w:r>
              <w:rPr>
                <w:sz w:val="28"/>
                <w:szCs w:val="28"/>
              </w:rPr>
              <w:t>编写人：</w:t>
            </w:r>
            <w:r>
              <w:rPr>
                <w:rFonts w:hint="eastAsia"/>
                <w:sz w:val="28"/>
                <w:szCs w:val="28"/>
              </w:rPr>
              <w:t>张雪峰</w:t>
            </w:r>
            <w:r>
              <w:rPr>
                <w:sz w:val="28"/>
                <w:szCs w:val="28"/>
              </w:rPr>
              <w:t>　　　　　　</w:t>
            </w:r>
            <w:r>
              <w:rPr>
                <w:rFonts w:hint="eastAsia"/>
                <w:sz w:val="28"/>
                <w:szCs w:val="28"/>
                <w:lang w:val="en-US" w:eastAsia="zh-CN"/>
              </w:rPr>
              <w:t xml:space="preserve">             </w:t>
            </w:r>
            <w:r>
              <w:rPr>
                <w:sz w:val="28"/>
                <w:szCs w:val="28"/>
              </w:rPr>
              <w:t>　</w:t>
            </w:r>
            <w:r>
              <w:rPr>
                <w:rFonts w:hint="eastAsia"/>
                <w:sz w:val="28"/>
                <w:szCs w:val="28"/>
                <w:lang w:val="en-US" w:eastAsia="zh-CN"/>
              </w:rPr>
              <w:t xml:space="preserve"> </w:t>
            </w:r>
            <w:r>
              <w:rPr>
                <w:rFonts w:hint="eastAsia"/>
                <w:sz w:val="28"/>
                <w:szCs w:val="28"/>
              </w:rPr>
              <w:t>2025</w:t>
            </w:r>
            <w:r>
              <w:rPr>
                <w:sz w:val="28"/>
                <w:szCs w:val="28"/>
              </w:rPr>
              <w:t>年</w:t>
            </w:r>
            <w:r>
              <w:rPr>
                <w:rFonts w:hint="eastAsia"/>
                <w:sz w:val="28"/>
                <w:szCs w:val="28"/>
              </w:rPr>
              <w:t>01</w:t>
            </w:r>
            <w:r>
              <w:rPr>
                <w:sz w:val="28"/>
                <w:szCs w:val="28"/>
              </w:rPr>
              <w:t>月</w:t>
            </w:r>
            <w:r>
              <w:rPr>
                <w:rFonts w:hint="eastAsia"/>
                <w:sz w:val="28"/>
                <w:szCs w:val="28"/>
              </w:rPr>
              <w:t>10</w:t>
            </w:r>
            <w:r>
              <w:rPr>
                <w:sz w:val="28"/>
                <w:szCs w:val="28"/>
              </w:rPr>
              <w:t>日</w:t>
            </w:r>
          </w:p>
          <w:p w14:paraId="598FAE7A">
            <w:pPr>
              <w:rPr>
                <w:sz w:val="28"/>
                <w:szCs w:val="28"/>
              </w:rPr>
            </w:pPr>
            <w:r>
              <w:rPr>
                <w:sz w:val="28"/>
                <w:szCs w:val="28"/>
              </w:rPr>
              <w:t>审核人：</w:t>
            </w:r>
            <w:r>
              <w:rPr>
                <w:rFonts w:hint="eastAsia"/>
                <w:sz w:val="28"/>
                <w:szCs w:val="28"/>
              </w:rPr>
              <w:t>李雷</w:t>
            </w:r>
            <w:r>
              <w:rPr>
                <w:rFonts w:hint="eastAsia"/>
                <w:sz w:val="28"/>
                <w:szCs w:val="28"/>
                <w:lang w:val="en-US" w:eastAsia="zh-CN"/>
              </w:rPr>
              <w:t xml:space="preserve">                              </w:t>
            </w:r>
            <w:r>
              <w:rPr>
                <w:rFonts w:hint="eastAsia"/>
                <w:sz w:val="28"/>
                <w:szCs w:val="28"/>
              </w:rPr>
              <w:t>2025</w:t>
            </w:r>
            <w:r>
              <w:rPr>
                <w:sz w:val="28"/>
                <w:szCs w:val="28"/>
              </w:rPr>
              <w:t>年</w:t>
            </w:r>
            <w:r>
              <w:rPr>
                <w:rFonts w:hint="eastAsia"/>
                <w:sz w:val="28"/>
                <w:szCs w:val="28"/>
              </w:rPr>
              <w:t>01</w:t>
            </w:r>
            <w:r>
              <w:rPr>
                <w:sz w:val="28"/>
                <w:szCs w:val="28"/>
              </w:rPr>
              <w:t>月</w:t>
            </w:r>
            <w:r>
              <w:rPr>
                <w:rFonts w:hint="eastAsia"/>
                <w:sz w:val="28"/>
                <w:szCs w:val="28"/>
              </w:rPr>
              <w:t>16</w:t>
            </w:r>
            <w:r>
              <w:rPr>
                <w:sz w:val="28"/>
                <w:szCs w:val="28"/>
              </w:rPr>
              <w:t>日</w:t>
            </w:r>
          </w:p>
          <w:p w14:paraId="4F437656">
            <w:pPr>
              <w:rPr>
                <w:sz w:val="28"/>
                <w:szCs w:val="28"/>
              </w:rPr>
            </w:pPr>
            <w:r>
              <w:rPr>
                <w:sz w:val="28"/>
                <w:szCs w:val="28"/>
              </w:rPr>
              <w:t>批准人：</w:t>
            </w:r>
            <w:r>
              <w:rPr>
                <w:rFonts w:hint="eastAsia"/>
                <w:sz w:val="28"/>
                <w:szCs w:val="28"/>
              </w:rPr>
              <w:t>翟祥军</w:t>
            </w:r>
            <w:r>
              <w:rPr>
                <w:rFonts w:hint="eastAsia"/>
                <w:sz w:val="28"/>
                <w:szCs w:val="28"/>
                <w:lang w:val="en-US" w:eastAsia="zh-CN"/>
              </w:rPr>
              <w:t xml:space="preserve">                            </w:t>
            </w:r>
            <w:r>
              <w:rPr>
                <w:rFonts w:hint="eastAsia"/>
                <w:sz w:val="28"/>
                <w:szCs w:val="28"/>
              </w:rPr>
              <w:t>2025</w:t>
            </w:r>
            <w:r>
              <w:rPr>
                <w:sz w:val="28"/>
                <w:szCs w:val="28"/>
              </w:rPr>
              <w:t>年</w:t>
            </w:r>
            <w:r>
              <w:rPr>
                <w:rFonts w:hint="eastAsia"/>
                <w:sz w:val="28"/>
                <w:szCs w:val="28"/>
              </w:rPr>
              <w:t>01</w:t>
            </w:r>
            <w:r>
              <w:rPr>
                <w:sz w:val="28"/>
                <w:szCs w:val="28"/>
              </w:rPr>
              <w:t>月</w:t>
            </w:r>
            <w:r>
              <w:rPr>
                <w:rFonts w:hint="eastAsia"/>
                <w:sz w:val="28"/>
                <w:szCs w:val="28"/>
              </w:rPr>
              <w:t>22</w:t>
            </w:r>
            <w:r>
              <w:rPr>
                <w:sz w:val="28"/>
                <w:szCs w:val="28"/>
              </w:rPr>
              <w:t>日</w:t>
            </w:r>
          </w:p>
        </w:tc>
      </w:tr>
    </w:tbl>
    <w:p w14:paraId="42906A5D">
      <w:pPr>
        <w:rPr>
          <w:rFonts w:eastAsia="黑体"/>
        </w:rPr>
      </w:pPr>
    </w:p>
    <w:tbl>
      <w:tblPr>
        <w:tblStyle w:val="1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5"/>
        <w:gridCol w:w="2391"/>
        <w:gridCol w:w="1276"/>
        <w:gridCol w:w="1276"/>
        <w:gridCol w:w="1530"/>
      </w:tblGrid>
      <w:tr w14:paraId="4CB8A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5" w:type="pct"/>
            <w:tcBorders>
              <w:top w:val="single" w:color="auto" w:sz="4" w:space="0"/>
              <w:left w:val="single" w:color="auto" w:sz="4" w:space="0"/>
              <w:bottom w:val="single" w:color="auto" w:sz="4" w:space="0"/>
              <w:right w:val="single" w:color="auto" w:sz="4" w:space="0"/>
            </w:tcBorders>
            <w:vAlign w:val="center"/>
          </w:tcPr>
          <w:p w14:paraId="547E6C9A">
            <w:pPr>
              <w:rPr>
                <w:rFonts w:ascii="宋体" w:hAnsi="宋体"/>
              </w:rPr>
            </w:pPr>
            <w:r>
              <w:rPr>
                <w:rFonts w:hint="eastAsia" w:ascii="宋体" w:hAnsi="宋体" w:cs="宋体"/>
                <w:spacing w:val="-6"/>
                <w:sz w:val="28"/>
                <w:szCs w:val="28"/>
              </w:rPr>
              <w:t>修订条款</w:t>
            </w:r>
          </w:p>
        </w:tc>
        <w:tc>
          <w:tcPr>
            <w:tcW w:w="1402" w:type="pct"/>
            <w:tcBorders>
              <w:top w:val="single" w:color="auto" w:sz="4" w:space="0"/>
              <w:left w:val="single" w:color="auto" w:sz="4" w:space="0"/>
              <w:bottom w:val="single" w:color="auto" w:sz="4" w:space="0"/>
              <w:right w:val="single" w:color="auto" w:sz="4" w:space="0"/>
            </w:tcBorders>
            <w:vAlign w:val="center"/>
          </w:tcPr>
          <w:p w14:paraId="3318DFDB">
            <w:pPr>
              <w:rPr>
                <w:rFonts w:ascii="宋体" w:hAnsi="宋体"/>
              </w:rPr>
            </w:pPr>
            <w:r>
              <w:rPr>
                <w:rFonts w:hint="eastAsia" w:ascii="宋体" w:hAnsi="宋体" w:cs="宋体"/>
                <w:spacing w:val="-6"/>
                <w:sz w:val="28"/>
                <w:szCs w:val="28"/>
              </w:rPr>
              <w:t>修订内容</w:t>
            </w:r>
          </w:p>
        </w:tc>
        <w:tc>
          <w:tcPr>
            <w:tcW w:w="748" w:type="pct"/>
            <w:tcBorders>
              <w:top w:val="single" w:color="auto" w:sz="4" w:space="0"/>
              <w:left w:val="single" w:color="auto" w:sz="4" w:space="0"/>
              <w:bottom w:val="single" w:color="auto" w:sz="4" w:space="0"/>
              <w:right w:val="single" w:color="auto" w:sz="4" w:space="0"/>
            </w:tcBorders>
            <w:vAlign w:val="center"/>
          </w:tcPr>
          <w:p w14:paraId="6ACE86A9">
            <w:pPr>
              <w:rPr>
                <w:rFonts w:ascii="宋体" w:hAnsi="宋体"/>
              </w:rPr>
            </w:pPr>
            <w:r>
              <w:rPr>
                <w:rFonts w:hint="eastAsia" w:ascii="宋体" w:hAnsi="宋体" w:cs="宋体"/>
                <w:spacing w:val="-6"/>
                <w:sz w:val="28"/>
                <w:szCs w:val="28"/>
              </w:rPr>
              <w:t>修订人</w:t>
            </w:r>
          </w:p>
        </w:tc>
        <w:tc>
          <w:tcPr>
            <w:tcW w:w="748" w:type="pct"/>
            <w:tcBorders>
              <w:top w:val="single" w:color="auto" w:sz="4" w:space="0"/>
              <w:left w:val="single" w:color="auto" w:sz="4" w:space="0"/>
              <w:bottom w:val="single" w:color="auto" w:sz="4" w:space="0"/>
              <w:right w:val="single" w:color="auto" w:sz="4" w:space="0"/>
            </w:tcBorders>
            <w:vAlign w:val="center"/>
          </w:tcPr>
          <w:p w14:paraId="7496E24C">
            <w:pPr>
              <w:rPr>
                <w:rFonts w:ascii="宋体" w:hAnsi="宋体"/>
              </w:rPr>
            </w:pPr>
            <w:r>
              <w:rPr>
                <w:rFonts w:hint="eastAsia" w:ascii="宋体" w:hAnsi="宋体" w:cs="宋体"/>
                <w:spacing w:val="-6"/>
                <w:sz w:val="28"/>
                <w:szCs w:val="28"/>
              </w:rPr>
              <w:t>批准人</w:t>
            </w:r>
          </w:p>
        </w:tc>
        <w:tc>
          <w:tcPr>
            <w:tcW w:w="897" w:type="pct"/>
            <w:tcBorders>
              <w:top w:val="single" w:color="auto" w:sz="4" w:space="0"/>
              <w:left w:val="single" w:color="auto" w:sz="4" w:space="0"/>
              <w:bottom w:val="single" w:color="auto" w:sz="4" w:space="0"/>
              <w:right w:val="single" w:color="auto" w:sz="4" w:space="0"/>
            </w:tcBorders>
            <w:vAlign w:val="center"/>
          </w:tcPr>
          <w:p w14:paraId="4F40239A">
            <w:pPr>
              <w:rPr>
                <w:rFonts w:ascii="宋体" w:hAnsi="宋体" w:cs="宋体"/>
                <w:spacing w:val="-20"/>
                <w:sz w:val="28"/>
                <w:szCs w:val="28"/>
              </w:rPr>
            </w:pPr>
            <w:r>
              <w:rPr>
                <w:rFonts w:hint="eastAsia" w:ascii="宋体" w:hAnsi="宋体" w:cs="宋体"/>
                <w:spacing w:val="-20"/>
                <w:sz w:val="28"/>
                <w:szCs w:val="28"/>
              </w:rPr>
              <w:t>生效日期</w:t>
            </w:r>
          </w:p>
        </w:tc>
      </w:tr>
      <w:tr w14:paraId="6229F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5" w:type="pct"/>
            <w:tcBorders>
              <w:top w:val="single" w:color="auto" w:sz="4" w:space="0"/>
              <w:left w:val="single" w:color="auto" w:sz="4" w:space="0"/>
              <w:bottom w:val="single" w:color="auto" w:sz="4" w:space="0"/>
              <w:right w:val="single" w:color="auto" w:sz="4" w:space="0"/>
            </w:tcBorders>
            <w:vAlign w:val="center"/>
          </w:tcPr>
          <w:p w14:paraId="4A6542A0">
            <w:pPr>
              <w:jc w:val="left"/>
              <w:outlineLvl w:val="0"/>
              <w:rPr>
                <w:rStyle w:val="14"/>
                <w:rFonts w:hint="eastAsia"/>
                <w:color w:val="auto"/>
                <w:u w:val="none"/>
              </w:rPr>
            </w:pPr>
            <w:r>
              <w:rPr>
                <w:rStyle w:val="14"/>
                <w:rFonts w:hint="eastAsia"/>
                <w:color w:val="auto"/>
                <w:u w:val="none"/>
              </w:rPr>
              <w:t>版本号</w:t>
            </w:r>
          </w:p>
          <w:p w14:paraId="411007BA">
            <w:pPr>
              <w:jc w:val="left"/>
              <w:outlineLvl w:val="0"/>
              <w:rPr>
                <w:rStyle w:val="14"/>
                <w:rFonts w:hint="eastAsia"/>
                <w:color w:val="auto"/>
                <w:u w:val="none"/>
              </w:rPr>
            </w:pPr>
          </w:p>
          <w:p w14:paraId="05FE6948">
            <w:pPr>
              <w:jc w:val="left"/>
              <w:outlineLvl w:val="0"/>
              <w:rPr>
                <w:rStyle w:val="14"/>
                <w:rFonts w:cs="宋体"/>
                <w:color w:val="auto"/>
                <w:u w:val="none"/>
              </w:rPr>
            </w:pPr>
            <w:r>
              <w:rPr>
                <w:rStyle w:val="14"/>
                <w:rFonts w:hint="eastAsia" w:cs="宋体"/>
                <w:color w:val="auto"/>
                <w:u w:val="none"/>
              </w:rPr>
              <w:t>二、伦理审查申请/报告的类别</w:t>
            </w:r>
          </w:p>
          <w:p w14:paraId="3F6B8C38">
            <w:pPr>
              <w:jc w:val="left"/>
              <w:outlineLvl w:val="0"/>
              <w:rPr>
                <w:rStyle w:val="14"/>
                <w:rFonts w:hint="eastAsia"/>
                <w:color w:val="auto"/>
                <w:u w:val="none"/>
              </w:rPr>
            </w:pPr>
          </w:p>
          <w:p w14:paraId="1A757B53">
            <w:pPr>
              <w:jc w:val="left"/>
              <w:outlineLvl w:val="0"/>
              <w:rPr>
                <w:rStyle w:val="14"/>
                <w:rFonts w:hint="eastAsia"/>
                <w:color w:val="auto"/>
                <w:u w:val="none"/>
              </w:rPr>
            </w:pPr>
          </w:p>
          <w:p w14:paraId="5D397917">
            <w:pPr>
              <w:jc w:val="left"/>
              <w:outlineLvl w:val="0"/>
              <w:rPr>
                <w:rStyle w:val="14"/>
                <w:rFonts w:hint="eastAsia"/>
                <w:color w:val="auto"/>
                <w:u w:val="none"/>
              </w:rPr>
            </w:pPr>
          </w:p>
          <w:p w14:paraId="18CB8A6D">
            <w:pPr>
              <w:jc w:val="left"/>
              <w:outlineLvl w:val="0"/>
              <w:rPr>
                <w:rStyle w:val="14"/>
                <w:rFonts w:hint="eastAsia"/>
                <w:color w:val="auto"/>
                <w:u w:val="none"/>
              </w:rPr>
            </w:pPr>
          </w:p>
          <w:p w14:paraId="7A7618A7">
            <w:pPr>
              <w:jc w:val="left"/>
              <w:outlineLvl w:val="0"/>
              <w:rPr>
                <w:rStyle w:val="14"/>
                <w:rFonts w:hint="eastAsia"/>
                <w:color w:val="auto"/>
                <w:u w:val="none"/>
              </w:rPr>
            </w:pPr>
          </w:p>
          <w:p w14:paraId="5076D13E">
            <w:pPr>
              <w:jc w:val="left"/>
              <w:outlineLvl w:val="0"/>
              <w:rPr>
                <w:rStyle w:val="14"/>
                <w:rFonts w:hint="eastAsia"/>
                <w:color w:val="auto"/>
                <w:u w:val="none"/>
              </w:rPr>
            </w:pPr>
          </w:p>
          <w:p w14:paraId="60F4CD08">
            <w:pPr>
              <w:jc w:val="left"/>
              <w:outlineLvl w:val="0"/>
              <w:rPr>
                <w:rStyle w:val="14"/>
                <w:rFonts w:hint="eastAsia"/>
                <w:color w:val="auto"/>
                <w:u w:val="none"/>
              </w:rPr>
            </w:pPr>
          </w:p>
          <w:p w14:paraId="12C5C80D">
            <w:pPr>
              <w:jc w:val="left"/>
              <w:outlineLvl w:val="0"/>
              <w:rPr>
                <w:rStyle w:val="14"/>
                <w:rFonts w:hint="eastAsia"/>
                <w:color w:val="auto"/>
                <w:u w:val="none"/>
              </w:rPr>
            </w:pPr>
          </w:p>
          <w:p w14:paraId="513D3EAB">
            <w:pPr>
              <w:jc w:val="left"/>
              <w:outlineLvl w:val="0"/>
              <w:rPr>
                <w:rStyle w:val="14"/>
                <w:rFonts w:hint="eastAsia"/>
                <w:color w:val="auto"/>
                <w:u w:val="none"/>
              </w:rPr>
            </w:pPr>
          </w:p>
          <w:p w14:paraId="4ACAB4D4">
            <w:pPr>
              <w:jc w:val="left"/>
              <w:outlineLvl w:val="0"/>
              <w:rPr>
                <w:rStyle w:val="14"/>
                <w:rFonts w:hint="eastAsia"/>
                <w:color w:val="auto"/>
                <w:u w:val="none"/>
              </w:rPr>
            </w:pPr>
          </w:p>
          <w:p w14:paraId="4496329E">
            <w:pPr>
              <w:jc w:val="left"/>
              <w:outlineLvl w:val="0"/>
              <w:rPr>
                <w:rStyle w:val="14"/>
                <w:rFonts w:hint="eastAsia"/>
                <w:color w:val="auto"/>
                <w:u w:val="none"/>
              </w:rPr>
            </w:pPr>
          </w:p>
          <w:p w14:paraId="5552EED5">
            <w:pPr>
              <w:jc w:val="left"/>
              <w:outlineLvl w:val="0"/>
              <w:rPr>
                <w:rStyle w:val="14"/>
                <w:rFonts w:hint="eastAsia"/>
                <w:color w:val="auto"/>
                <w:u w:val="none"/>
              </w:rPr>
            </w:pPr>
            <w:r>
              <w:rPr>
                <w:rStyle w:val="14"/>
                <w:rFonts w:hint="eastAsia"/>
                <w:color w:val="auto"/>
                <w:u w:val="none"/>
              </w:rPr>
              <w:t>版本号</w:t>
            </w:r>
          </w:p>
          <w:p w14:paraId="1A3BB04F">
            <w:pPr>
              <w:jc w:val="left"/>
              <w:outlineLvl w:val="0"/>
              <w:rPr>
                <w:rStyle w:val="14"/>
                <w:rFonts w:hint="eastAsia"/>
                <w:color w:val="auto"/>
                <w:u w:val="none"/>
              </w:rPr>
            </w:pPr>
          </w:p>
          <w:p w14:paraId="2D86D102">
            <w:pPr>
              <w:jc w:val="left"/>
              <w:outlineLvl w:val="0"/>
              <w:rPr>
                <w:rStyle w:val="14"/>
                <w:rFonts w:cs="宋体"/>
                <w:color w:val="auto"/>
                <w:u w:val="none"/>
              </w:rPr>
            </w:pPr>
            <w:r>
              <w:rPr>
                <w:rStyle w:val="14"/>
                <w:rFonts w:hint="eastAsia" w:cs="宋体"/>
                <w:color w:val="auto"/>
                <w:u w:val="none"/>
              </w:rPr>
              <w:t>二、伦理审查申请/报告的类别</w:t>
            </w:r>
          </w:p>
          <w:p w14:paraId="0D31E1F1">
            <w:pPr>
              <w:rPr>
                <w:rStyle w:val="14"/>
                <w:rFonts w:cs="宋体"/>
                <w:color w:val="auto"/>
                <w:u w:val="none"/>
              </w:rPr>
            </w:pPr>
          </w:p>
          <w:p w14:paraId="4131DE39">
            <w:pPr>
              <w:rPr>
                <w:rStyle w:val="14"/>
                <w:rFonts w:cs="宋体"/>
                <w:color w:val="auto"/>
                <w:u w:val="none"/>
              </w:rPr>
            </w:pPr>
          </w:p>
          <w:p w14:paraId="553893C2">
            <w:pPr>
              <w:rPr>
                <w:rStyle w:val="14"/>
                <w:rFonts w:cs="宋体"/>
                <w:color w:val="auto"/>
                <w:u w:val="none"/>
              </w:rPr>
            </w:pPr>
          </w:p>
          <w:p w14:paraId="6E027241">
            <w:pPr>
              <w:rPr>
                <w:rStyle w:val="14"/>
                <w:rFonts w:cs="宋体"/>
                <w:color w:val="auto"/>
                <w:u w:val="none"/>
              </w:rPr>
            </w:pPr>
          </w:p>
          <w:p w14:paraId="47D5DDE3">
            <w:pPr>
              <w:jc w:val="left"/>
              <w:rPr>
                <w:rStyle w:val="14"/>
                <w:rFonts w:hint="eastAsia" w:cs="宋体"/>
                <w:color w:val="auto"/>
                <w:u w:val="none"/>
              </w:rPr>
            </w:pPr>
            <w:r>
              <w:rPr>
                <w:rStyle w:val="14"/>
                <w:rFonts w:hint="eastAsia" w:cs="宋体"/>
                <w:color w:val="auto"/>
                <w:u w:val="none"/>
              </w:rPr>
              <w:t>六、伦理审查的费用</w:t>
            </w:r>
          </w:p>
          <w:p w14:paraId="622CACB8">
            <w:pPr>
              <w:rPr>
                <w:rStyle w:val="14"/>
                <w:rFonts w:hint="eastAsia" w:eastAsia="宋体" w:cs="宋体"/>
                <w:color w:val="auto"/>
                <w:u w:val="none"/>
                <w:lang w:eastAsia="zh-CN"/>
              </w:rPr>
            </w:pPr>
          </w:p>
          <w:p w14:paraId="7E79A859">
            <w:pPr>
              <w:rPr>
                <w:rFonts w:cs="宋体"/>
              </w:rPr>
            </w:pPr>
          </w:p>
          <w:p w14:paraId="4CA6578E">
            <w:pPr>
              <w:jc w:val="left"/>
              <w:rPr>
                <w:rStyle w:val="14"/>
                <w:rFonts w:hint="eastAsia" w:eastAsia="宋体" w:cs="宋体"/>
                <w:color w:val="auto"/>
                <w:u w:val="none"/>
                <w:lang w:eastAsia="zh-CN"/>
              </w:rPr>
            </w:pPr>
            <w:r>
              <w:rPr>
                <w:rStyle w:val="14"/>
                <w:rFonts w:hint="eastAsia" w:cs="宋体"/>
                <w:color w:val="auto"/>
                <w:u w:val="none"/>
                <w:lang w:eastAsia="zh-CN"/>
              </w:rPr>
              <w:t>十一、附件</w:t>
            </w:r>
          </w:p>
          <w:p w14:paraId="4B09EA96">
            <w:pPr>
              <w:rPr>
                <w:rFonts w:cs="宋体"/>
              </w:rPr>
            </w:pPr>
          </w:p>
          <w:p w14:paraId="7CC59313">
            <w:pPr>
              <w:rPr>
                <w:rFonts w:cs="宋体"/>
              </w:rPr>
            </w:pPr>
          </w:p>
          <w:p w14:paraId="576D855F">
            <w:pPr>
              <w:rPr>
                <w:rFonts w:cs="宋体"/>
              </w:rPr>
            </w:pPr>
          </w:p>
          <w:p w14:paraId="1708C4F6">
            <w:pPr>
              <w:rPr>
                <w:rFonts w:cs="宋体"/>
              </w:rPr>
            </w:pPr>
          </w:p>
          <w:p w14:paraId="602E79D6">
            <w:pPr>
              <w:rPr>
                <w:rFonts w:cs="宋体"/>
              </w:rPr>
            </w:pPr>
          </w:p>
          <w:p w14:paraId="5C8F669E">
            <w:pPr>
              <w:rPr>
                <w:rFonts w:cs="宋体"/>
              </w:rPr>
            </w:pPr>
          </w:p>
        </w:tc>
        <w:tc>
          <w:tcPr>
            <w:tcW w:w="1402" w:type="pct"/>
            <w:tcBorders>
              <w:top w:val="single" w:color="auto" w:sz="4" w:space="0"/>
              <w:left w:val="single" w:color="auto" w:sz="4" w:space="0"/>
              <w:bottom w:val="single" w:color="auto" w:sz="4" w:space="0"/>
              <w:right w:val="single" w:color="auto" w:sz="4" w:space="0"/>
            </w:tcBorders>
            <w:vAlign w:val="center"/>
          </w:tcPr>
          <w:p w14:paraId="5229FD46">
            <w:pPr>
              <w:outlineLvl w:val="0"/>
              <w:rPr>
                <w:rStyle w:val="14"/>
                <w:color w:val="auto"/>
                <w:u w:val="none"/>
              </w:rPr>
            </w:pPr>
            <w:r>
              <w:rPr>
                <w:rStyle w:val="14"/>
                <w:rFonts w:hint="eastAsia"/>
                <w:color w:val="auto"/>
                <w:u w:val="none"/>
              </w:rPr>
              <w:t>版本号升级为V07.1</w:t>
            </w:r>
          </w:p>
          <w:p w14:paraId="145EDF13">
            <w:pPr>
              <w:outlineLvl w:val="0"/>
              <w:rPr>
                <w:rStyle w:val="14"/>
                <w:rFonts w:hint="eastAsia"/>
                <w:color w:val="auto"/>
                <w:u w:val="none"/>
              </w:rPr>
            </w:pPr>
            <w:r>
              <w:rPr>
                <w:rStyle w:val="14"/>
                <w:rFonts w:hint="eastAsia"/>
                <w:color w:val="auto"/>
                <w:u w:val="none"/>
              </w:rPr>
              <w:t>特殊事件包括特别关注的不良事件（AESI）、方案规定的避孕期内发生的妊娠事件、避孕期外发生的异常妊娠及其他临床试验方案中规定的需报告事件。方案规定的避孕期内发生的妊娠事件需同时报方案偏离/违背报告。研究期间发生的所有严重不良事件和特殊事件均需在法规要求的时限内报送伦理审查委员会。</w:t>
            </w:r>
          </w:p>
          <w:p w14:paraId="330F75D5">
            <w:pPr>
              <w:outlineLvl w:val="0"/>
              <w:rPr>
                <w:rStyle w:val="14"/>
                <w:rFonts w:hint="eastAsia" w:eastAsia="宋体"/>
                <w:color w:val="auto"/>
                <w:u w:val="none"/>
                <w:lang w:eastAsia="zh-CN"/>
              </w:rPr>
            </w:pPr>
            <w:r>
              <w:rPr>
                <w:rStyle w:val="14"/>
                <w:rFonts w:hint="eastAsia"/>
                <w:color w:val="auto"/>
                <w:u w:val="none"/>
              </w:rPr>
              <w:t>版本号升级为V07.</w:t>
            </w:r>
            <w:r>
              <w:rPr>
                <w:rStyle w:val="14"/>
                <w:rFonts w:hint="eastAsia"/>
                <w:color w:val="auto"/>
                <w:u w:val="none"/>
                <w:lang w:val="en-US" w:eastAsia="zh-CN"/>
              </w:rPr>
              <w:t>2</w:t>
            </w:r>
          </w:p>
          <w:p w14:paraId="7CCD4A6A">
            <w:pPr>
              <w:numPr>
                <w:ilvl w:val="-1"/>
                <w:numId w:val="0"/>
              </w:numPr>
              <w:ind w:left="0" w:firstLine="0"/>
              <w:rPr>
                <w:rFonts w:hint="eastAsia" w:eastAsia="宋体" w:cs="宋体"/>
                <w:lang w:eastAsia="zh-CN"/>
              </w:rPr>
            </w:pPr>
            <w:r>
              <w:rPr>
                <w:rStyle w:val="14"/>
                <w:rFonts w:hint="eastAsia"/>
                <w:color w:val="auto"/>
                <w:u w:val="none"/>
                <w:lang w:eastAsia="zh-CN"/>
              </w:rPr>
              <w:t>增加“</w:t>
            </w:r>
            <w:r>
              <w:rPr>
                <w:rFonts w:hint="eastAsia" w:cs="宋体"/>
              </w:rPr>
              <w:t>不属于上述范围的</w:t>
            </w:r>
            <w:r>
              <w:rPr>
                <w:rFonts w:hint="eastAsia" w:cs="宋体"/>
                <w:lang w:eastAsia="zh-CN"/>
              </w:rPr>
              <w:t>轻度</w:t>
            </w:r>
            <w:r>
              <w:rPr>
                <w:rFonts w:hint="eastAsia" w:cs="宋体"/>
              </w:rPr>
              <w:t>偏离</w:t>
            </w:r>
            <w:r>
              <w:rPr>
                <w:rFonts w:cs="宋体"/>
              </w:rPr>
              <w:t>/</w:t>
            </w:r>
            <w:r>
              <w:rPr>
                <w:rFonts w:hint="eastAsia" w:cs="宋体"/>
              </w:rPr>
              <w:t>违背</w:t>
            </w:r>
            <w:r>
              <w:rPr>
                <w:rFonts w:hint="eastAsia" w:cs="宋体"/>
                <w:lang w:eastAsia="zh-CN"/>
              </w:rPr>
              <w:t>方案</w:t>
            </w:r>
            <w:r>
              <w:rPr>
                <w:rFonts w:hint="eastAsia" w:ascii="Times New Roman" w:hAnsi="Times New Roman" w:eastAsia="宋体" w:cs="宋体"/>
                <w:b w:val="0"/>
                <w:bCs w:val="0"/>
                <w:sz w:val="21"/>
                <w:szCs w:val="21"/>
              </w:rPr>
              <w:t>也需要定期报伦理，至少按半年一次的频率汇总上报，或遵循临床试验方案的规定</w:t>
            </w:r>
            <w:r>
              <w:rPr>
                <w:rFonts w:hint="eastAsia" w:ascii="Times New Roman" w:hAnsi="Times New Roman" w:cs="宋体"/>
                <w:b w:val="0"/>
                <w:bCs w:val="0"/>
                <w:sz w:val="21"/>
                <w:szCs w:val="21"/>
                <w:lang w:eastAsia="zh-CN"/>
              </w:rPr>
              <w:t>提高</w:t>
            </w:r>
            <w:r>
              <w:rPr>
                <w:rFonts w:hint="eastAsia" w:ascii="Times New Roman" w:hAnsi="Times New Roman" w:eastAsia="宋体" w:cs="宋体"/>
                <w:b w:val="0"/>
                <w:bCs w:val="0"/>
                <w:sz w:val="21"/>
                <w:szCs w:val="21"/>
              </w:rPr>
              <w:t>报告</w:t>
            </w:r>
            <w:r>
              <w:rPr>
                <w:rFonts w:hint="eastAsia" w:cs="宋体"/>
                <w:b w:val="0"/>
                <w:bCs w:val="0"/>
                <w:sz w:val="21"/>
                <w:szCs w:val="21"/>
                <w:lang w:eastAsia="zh-CN"/>
              </w:rPr>
              <w:t>频率</w:t>
            </w:r>
            <w:r>
              <w:rPr>
                <w:rFonts w:hint="eastAsia" w:ascii="Times New Roman" w:hAnsi="Times New Roman" w:eastAsia="宋体" w:cs="宋体"/>
                <w:b w:val="0"/>
                <w:bCs w:val="0"/>
                <w:sz w:val="21"/>
                <w:szCs w:val="21"/>
              </w:rPr>
              <w:t>。</w:t>
            </w:r>
            <w:r>
              <w:rPr>
                <w:rFonts w:hint="eastAsia" w:cs="宋体"/>
                <w:b w:val="0"/>
                <w:bCs w:val="0"/>
                <w:sz w:val="21"/>
                <w:szCs w:val="21"/>
                <w:lang w:eastAsia="zh-CN"/>
              </w:rPr>
              <w:t>”</w:t>
            </w:r>
          </w:p>
          <w:p w14:paraId="3419AA10">
            <w:pPr>
              <w:outlineLvl w:val="0"/>
              <w:rPr>
                <w:rStyle w:val="14"/>
                <w:rFonts w:hint="eastAsia" w:eastAsia="宋体"/>
                <w:color w:val="auto"/>
                <w:u w:val="none"/>
                <w:lang w:eastAsia="zh-CN"/>
              </w:rPr>
            </w:pPr>
            <w:r>
              <w:rPr>
                <w:rStyle w:val="14"/>
                <w:rFonts w:hint="eastAsia"/>
                <w:color w:val="auto"/>
                <w:u w:val="none"/>
                <w:lang w:eastAsia="zh-CN"/>
              </w:rPr>
              <w:t>增加“</w:t>
            </w:r>
            <w:r>
              <w:rPr>
                <w:rFonts w:hint="eastAsia" w:cs="宋体"/>
              </w:rPr>
              <w:t>伦理审查费原则上应在提交伦理审查申请前一次性缴纳。</w:t>
            </w:r>
            <w:r>
              <w:rPr>
                <w:rStyle w:val="14"/>
                <w:rFonts w:hint="eastAsia"/>
                <w:color w:val="auto"/>
                <w:u w:val="none"/>
                <w:lang w:eastAsia="zh-CN"/>
              </w:rPr>
              <w:t>”</w:t>
            </w:r>
          </w:p>
          <w:p w14:paraId="54C293C9">
            <w:pPr>
              <w:outlineLvl w:val="0"/>
              <w:rPr>
                <w:rStyle w:val="14"/>
                <w:rFonts w:hint="default" w:eastAsia="宋体"/>
                <w:color w:val="auto"/>
                <w:u w:val="none"/>
                <w:lang w:val="en-US" w:eastAsia="zh-CN"/>
              </w:rPr>
            </w:pPr>
            <w:r>
              <w:rPr>
                <w:rStyle w:val="14"/>
                <w:rFonts w:hint="eastAsia"/>
                <w:color w:val="auto"/>
                <w:u w:val="none"/>
                <w:lang w:eastAsia="zh-CN"/>
              </w:rPr>
              <w:t>附件</w:t>
            </w:r>
            <w:r>
              <w:rPr>
                <w:rStyle w:val="14"/>
                <w:rFonts w:hint="eastAsia"/>
                <w:color w:val="auto"/>
                <w:u w:val="none"/>
                <w:lang w:val="en-US" w:eastAsia="zh-CN"/>
              </w:rPr>
              <w:t>1的版本号升级为V07.1</w:t>
            </w:r>
          </w:p>
          <w:p w14:paraId="42DC2F6B">
            <w:pPr>
              <w:outlineLvl w:val="0"/>
              <w:rPr>
                <w:rStyle w:val="14"/>
                <w:rFonts w:hint="eastAsia"/>
                <w:color w:val="auto"/>
                <w:u w:val="none"/>
              </w:rPr>
            </w:pPr>
          </w:p>
          <w:p w14:paraId="745083DA">
            <w:pPr>
              <w:outlineLvl w:val="0"/>
              <w:rPr>
                <w:rStyle w:val="14"/>
                <w:rFonts w:hint="eastAsia"/>
                <w:color w:val="auto"/>
                <w:u w:val="none"/>
              </w:rPr>
            </w:pPr>
          </w:p>
          <w:p w14:paraId="1A5BAD94">
            <w:pPr>
              <w:outlineLvl w:val="0"/>
              <w:rPr>
                <w:rStyle w:val="14"/>
                <w:rFonts w:hint="eastAsia"/>
                <w:color w:val="auto"/>
                <w:u w:val="none"/>
              </w:rPr>
            </w:pPr>
          </w:p>
          <w:p w14:paraId="69298544">
            <w:pPr>
              <w:outlineLvl w:val="0"/>
              <w:rPr>
                <w:rStyle w:val="14"/>
                <w:rFonts w:hint="eastAsia"/>
                <w:color w:val="auto"/>
                <w:u w:val="none"/>
              </w:rPr>
            </w:pPr>
          </w:p>
          <w:p w14:paraId="5637FCA9">
            <w:pPr>
              <w:outlineLvl w:val="0"/>
              <w:rPr>
                <w:rStyle w:val="14"/>
                <w:color w:val="auto"/>
                <w:u w:val="none"/>
              </w:rPr>
            </w:pPr>
          </w:p>
        </w:tc>
        <w:tc>
          <w:tcPr>
            <w:tcW w:w="748" w:type="pct"/>
            <w:tcBorders>
              <w:top w:val="single" w:color="auto" w:sz="4" w:space="0"/>
              <w:left w:val="single" w:color="auto" w:sz="4" w:space="0"/>
              <w:bottom w:val="single" w:color="auto" w:sz="4" w:space="0"/>
              <w:right w:val="single" w:color="auto" w:sz="4" w:space="0"/>
            </w:tcBorders>
            <w:vAlign w:val="center"/>
          </w:tcPr>
          <w:p w14:paraId="5C462496">
            <w:pPr>
              <w:outlineLvl w:val="0"/>
              <w:rPr>
                <w:rStyle w:val="14"/>
                <w:rFonts w:hint="eastAsia" w:ascii="宋体" w:hAnsi="宋体" w:eastAsia="宋体" w:cs="宋体"/>
                <w:color w:val="auto"/>
                <w:spacing w:val="-6"/>
                <w:sz w:val="28"/>
                <w:szCs w:val="28"/>
                <w:u w:val="none"/>
                <w:lang w:eastAsia="zh-CN"/>
              </w:rPr>
            </w:pPr>
            <w:r>
              <w:rPr>
                <w:rStyle w:val="14"/>
                <w:rFonts w:hint="eastAsia" w:ascii="Times New Roman" w:hAnsi="Times New Roman" w:cs="Times New Roman"/>
                <w:color w:val="auto"/>
                <w:spacing w:val="0"/>
                <w:sz w:val="21"/>
                <w:szCs w:val="21"/>
                <w:u w:val="none"/>
                <w:lang w:eastAsia="zh-CN"/>
              </w:rPr>
              <w:t>张雪峰</w:t>
            </w:r>
          </w:p>
        </w:tc>
        <w:tc>
          <w:tcPr>
            <w:tcW w:w="748" w:type="pct"/>
            <w:tcBorders>
              <w:top w:val="single" w:color="auto" w:sz="4" w:space="0"/>
              <w:left w:val="single" w:color="auto" w:sz="4" w:space="0"/>
              <w:bottom w:val="single" w:color="auto" w:sz="4" w:space="0"/>
              <w:right w:val="single" w:color="auto" w:sz="4" w:space="0"/>
            </w:tcBorders>
            <w:vAlign w:val="center"/>
          </w:tcPr>
          <w:p w14:paraId="2C343F40">
            <w:pPr>
              <w:jc w:val="left"/>
              <w:outlineLvl w:val="0"/>
              <w:rPr>
                <w:rStyle w:val="14"/>
                <w:rFonts w:hint="eastAsia" w:ascii="宋体" w:hAnsi="宋体" w:eastAsia="宋体" w:cs="宋体"/>
                <w:color w:val="auto"/>
                <w:spacing w:val="-6"/>
                <w:sz w:val="28"/>
                <w:szCs w:val="28"/>
                <w:u w:val="none"/>
                <w:lang w:eastAsia="zh-CN"/>
              </w:rPr>
            </w:pPr>
            <w:r>
              <w:rPr>
                <w:rStyle w:val="14"/>
                <w:rFonts w:hint="eastAsia" w:ascii="Times New Roman" w:hAnsi="Times New Roman" w:cs="Times New Roman"/>
                <w:color w:val="auto"/>
                <w:spacing w:val="0"/>
                <w:sz w:val="21"/>
                <w:szCs w:val="21"/>
                <w:u w:val="none"/>
                <w:lang w:eastAsia="zh-CN"/>
              </w:rPr>
              <w:t>翟祥军</w:t>
            </w:r>
          </w:p>
        </w:tc>
        <w:tc>
          <w:tcPr>
            <w:tcW w:w="897" w:type="pct"/>
            <w:tcBorders>
              <w:top w:val="single" w:color="auto" w:sz="4" w:space="0"/>
              <w:left w:val="single" w:color="auto" w:sz="4" w:space="0"/>
              <w:bottom w:val="single" w:color="auto" w:sz="4" w:space="0"/>
              <w:right w:val="single" w:color="auto" w:sz="4" w:space="0"/>
            </w:tcBorders>
            <w:vAlign w:val="center"/>
          </w:tcPr>
          <w:p w14:paraId="3ACF824C">
            <w:pPr>
              <w:jc w:val="left"/>
              <w:outlineLvl w:val="0"/>
              <w:rPr>
                <w:rStyle w:val="14"/>
                <w:rFonts w:hint="eastAsia" w:ascii="宋体" w:hAnsi="宋体" w:eastAsia="宋体" w:cs="宋体"/>
                <w:color w:val="auto"/>
                <w:spacing w:val="-20"/>
                <w:sz w:val="24"/>
                <w:szCs w:val="24"/>
                <w:u w:val="none"/>
                <w:lang w:val="en-US" w:eastAsia="zh-CN"/>
              </w:rPr>
            </w:pPr>
            <w:r>
              <w:rPr>
                <w:rStyle w:val="14"/>
                <w:rFonts w:hint="eastAsia" w:ascii="Times New Roman" w:hAnsi="Times New Roman" w:cs="Times New Roman"/>
                <w:color w:val="auto"/>
                <w:spacing w:val="0"/>
                <w:sz w:val="21"/>
                <w:szCs w:val="21"/>
                <w:u w:val="none"/>
                <w:lang w:val="en-US" w:eastAsia="zh-CN"/>
              </w:rPr>
              <w:t>2025年8月12日</w:t>
            </w:r>
          </w:p>
        </w:tc>
      </w:tr>
    </w:tbl>
    <w:p w14:paraId="113410FE">
      <w:pPr>
        <w:rPr>
          <w:rFonts w:eastAsia="黑体"/>
        </w:rPr>
      </w:pPr>
    </w:p>
    <w:p w14:paraId="1EAF99B2">
      <w:pPr>
        <w:rPr>
          <w:rFonts w:eastAsia="黑体" w:cs="黑体"/>
          <w:sz w:val="28"/>
          <w:szCs w:val="28"/>
        </w:rPr>
        <w:sectPr>
          <w:headerReference r:id="rId5" w:type="first"/>
          <w:headerReference r:id="rId3" w:type="default"/>
          <w:footerReference r:id="rId6" w:type="default"/>
          <w:headerReference r:id="rId4" w:type="even"/>
          <w:footerReference r:id="rId7" w:type="even"/>
          <w:pgSz w:w="11906" w:h="16838"/>
          <w:pgMar w:top="1440" w:right="1797" w:bottom="1440" w:left="1797" w:header="851" w:footer="992" w:gutter="0"/>
          <w:pgNumType w:start="1"/>
          <w:cols w:space="720" w:num="1"/>
          <w:titlePg/>
          <w:docGrid w:type="linesAndChars" w:linePitch="348" w:charSpace="0"/>
        </w:sectPr>
      </w:pPr>
    </w:p>
    <w:p w14:paraId="58F9F6D1">
      <w:pPr>
        <w:jc w:val="center"/>
        <w:rPr>
          <w:rFonts w:eastAsia="黑体"/>
          <w:sz w:val="28"/>
          <w:szCs w:val="28"/>
        </w:rPr>
      </w:pPr>
      <w:r>
        <w:rPr>
          <w:rFonts w:hint="eastAsia" w:eastAsia="黑体" w:cs="黑体"/>
          <w:sz w:val="28"/>
          <w:szCs w:val="28"/>
        </w:rPr>
        <w:t>伦理审查申请</w:t>
      </w:r>
      <w:r>
        <w:rPr>
          <w:rFonts w:eastAsia="黑体"/>
          <w:sz w:val="28"/>
          <w:szCs w:val="28"/>
        </w:rPr>
        <w:t>/</w:t>
      </w:r>
      <w:r>
        <w:rPr>
          <w:rFonts w:hint="eastAsia" w:eastAsia="黑体" w:cs="黑体"/>
          <w:sz w:val="28"/>
          <w:szCs w:val="28"/>
        </w:rPr>
        <w:t>报告指南</w:t>
      </w:r>
    </w:p>
    <w:p w14:paraId="5BB58F1F">
      <w:pPr>
        <w:jc w:val="center"/>
        <w:rPr>
          <w:rFonts w:eastAsia="黑体"/>
          <w:sz w:val="24"/>
          <w:szCs w:val="24"/>
        </w:rPr>
      </w:pPr>
      <w:r>
        <w:rPr>
          <w:rFonts w:eastAsia="黑体"/>
          <w:sz w:val="24"/>
          <w:szCs w:val="24"/>
        </w:rPr>
        <w:t>Guideline for Submitting/Reporting for Ethical Review</w:t>
      </w:r>
    </w:p>
    <w:p w14:paraId="4C23FCA6">
      <w:pPr>
        <w:pStyle w:val="23"/>
        <w:jc w:val="center"/>
        <w:rPr>
          <w:rFonts w:ascii="黑体" w:hAnsi="黑体" w:eastAsia="黑体"/>
          <w:color w:val="auto"/>
          <w:sz w:val="21"/>
          <w:szCs w:val="21"/>
        </w:rPr>
      </w:pPr>
      <w:r>
        <w:rPr>
          <w:rFonts w:ascii="黑体" w:hAnsi="黑体" w:eastAsia="黑体"/>
          <w:color w:val="auto"/>
          <w:sz w:val="21"/>
          <w:szCs w:val="21"/>
          <w:lang w:val="zh-CN"/>
        </w:rPr>
        <w:t>目 录</w:t>
      </w:r>
    </w:p>
    <w:p w14:paraId="58F01649">
      <w:pPr>
        <w:pStyle w:val="9"/>
        <w:tabs>
          <w:tab w:val="right" w:leader="dot" w:pos="8302"/>
        </w:tabs>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"_Toc154583286" </w:instrText>
      </w:r>
      <w:r>
        <w:fldChar w:fldCharType="separate"/>
      </w:r>
      <w:r>
        <w:rPr>
          <w:rStyle w:val="14"/>
          <w:rFonts w:cs="黑体"/>
        </w:rPr>
        <w:t>一、提交伦理审查的研究项目范围</w:t>
      </w:r>
      <w:r>
        <w:tab/>
      </w:r>
      <w:r>
        <w:fldChar w:fldCharType="begin"/>
      </w:r>
      <w:r>
        <w:instrText xml:space="preserve"> PAGEREF _Toc154583286 \h </w:instrText>
      </w:r>
      <w:r>
        <w:fldChar w:fldCharType="separate"/>
      </w:r>
      <w:r>
        <w:t>2</w:t>
      </w:r>
      <w:r>
        <w:fldChar w:fldCharType="end"/>
      </w:r>
      <w:r>
        <w:fldChar w:fldCharType="end"/>
      </w:r>
    </w:p>
    <w:p w14:paraId="6E263D39">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"_Toc154583287" </w:instrText>
      </w:r>
      <w:r>
        <w:fldChar w:fldCharType="separate"/>
      </w:r>
      <w:r>
        <w:rPr>
          <w:rStyle w:val="14"/>
          <w:rFonts w:cs="黑体"/>
        </w:rPr>
        <w:t>二、伦理审查申请</w:t>
      </w:r>
      <w:r>
        <w:rPr>
          <w:rStyle w:val="14"/>
        </w:rPr>
        <w:t>/</w:t>
      </w:r>
      <w:r>
        <w:rPr>
          <w:rStyle w:val="14"/>
          <w:rFonts w:cs="黑体"/>
        </w:rPr>
        <w:t>报告的类别</w:t>
      </w:r>
      <w:r>
        <w:tab/>
      </w:r>
      <w:r>
        <w:fldChar w:fldCharType="begin"/>
      </w:r>
      <w:r>
        <w:instrText xml:space="preserve"> PAGEREF _Toc154583287 \h </w:instrText>
      </w:r>
      <w:r>
        <w:fldChar w:fldCharType="separate"/>
      </w:r>
      <w:r>
        <w:t>2</w:t>
      </w:r>
      <w:r>
        <w:fldChar w:fldCharType="end"/>
      </w:r>
      <w:r>
        <w:fldChar w:fldCharType="end"/>
      </w:r>
    </w:p>
    <w:p w14:paraId="12DBFEE5">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"_Toc154583288" </w:instrText>
      </w:r>
      <w:r>
        <w:fldChar w:fldCharType="separate"/>
      </w:r>
      <w:r>
        <w:rPr>
          <w:rStyle w:val="14"/>
          <w:rFonts w:cs="黑体"/>
        </w:rPr>
        <w:t>三、提交伦理审查的流程</w:t>
      </w:r>
      <w:r>
        <w:tab/>
      </w:r>
      <w:r>
        <w:fldChar w:fldCharType="begin"/>
      </w:r>
      <w:r>
        <w:instrText xml:space="preserve"> PAGEREF _Toc154583288 \h </w:instrText>
      </w:r>
      <w:r>
        <w:fldChar w:fldCharType="separate"/>
      </w:r>
      <w:r>
        <w:t>3</w:t>
      </w:r>
      <w:r>
        <w:fldChar w:fldCharType="end"/>
      </w:r>
      <w:r>
        <w:fldChar w:fldCharType="end"/>
      </w:r>
    </w:p>
    <w:p w14:paraId="38EB9B36">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"_Toc154583289" </w:instrText>
      </w:r>
      <w:r>
        <w:fldChar w:fldCharType="separate"/>
      </w:r>
      <w:r>
        <w:rPr>
          <w:rStyle w:val="14"/>
          <w:rFonts w:cs="黑体"/>
        </w:rPr>
        <w:t>四、伦理审查的时间</w:t>
      </w:r>
      <w:r>
        <w:tab/>
      </w:r>
      <w:r>
        <w:fldChar w:fldCharType="begin"/>
      </w:r>
      <w:r>
        <w:instrText xml:space="preserve"> PAGEREF _Toc154583289 \h </w:instrText>
      </w:r>
      <w:r>
        <w:fldChar w:fldCharType="separate"/>
      </w:r>
      <w:r>
        <w:t>4</w:t>
      </w:r>
      <w:r>
        <w:fldChar w:fldCharType="end"/>
      </w:r>
      <w:r>
        <w:fldChar w:fldCharType="end"/>
      </w:r>
    </w:p>
    <w:p w14:paraId="325F1CFE">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"_Toc154583290" </w:instrText>
      </w:r>
      <w:r>
        <w:fldChar w:fldCharType="separate"/>
      </w:r>
      <w:r>
        <w:rPr>
          <w:rStyle w:val="14"/>
          <w:rFonts w:cs="黑体"/>
        </w:rPr>
        <w:t>五、审查决定的传达</w:t>
      </w:r>
      <w:r>
        <w:tab/>
      </w:r>
      <w:r>
        <w:fldChar w:fldCharType="begin"/>
      </w:r>
      <w:r>
        <w:instrText xml:space="preserve"> PAGEREF _Toc154583290 \h </w:instrText>
      </w:r>
      <w:r>
        <w:fldChar w:fldCharType="separate"/>
      </w:r>
      <w:r>
        <w:t>4</w:t>
      </w:r>
      <w:r>
        <w:fldChar w:fldCharType="end"/>
      </w:r>
      <w:r>
        <w:fldChar w:fldCharType="end"/>
      </w:r>
    </w:p>
    <w:p w14:paraId="2345644B">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"_Toc154583291" </w:instrText>
      </w:r>
      <w:r>
        <w:fldChar w:fldCharType="separate"/>
      </w:r>
      <w:r>
        <w:rPr>
          <w:rStyle w:val="14"/>
          <w:rFonts w:cs="黑体"/>
        </w:rPr>
        <w:t>六、伦理审查的费用</w:t>
      </w:r>
      <w:r>
        <w:tab/>
      </w:r>
      <w:r>
        <w:fldChar w:fldCharType="begin"/>
      </w:r>
      <w:r>
        <w:instrText xml:space="preserve"> PAGEREF _Toc154583291 \h </w:instrText>
      </w:r>
      <w:r>
        <w:fldChar w:fldCharType="separate"/>
      </w:r>
      <w:r>
        <w:t>4</w:t>
      </w:r>
      <w:r>
        <w:fldChar w:fldCharType="end"/>
      </w:r>
      <w:r>
        <w:fldChar w:fldCharType="end"/>
      </w:r>
    </w:p>
    <w:p w14:paraId="1BA06A8B">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"_Toc154583292" </w:instrText>
      </w:r>
      <w:r>
        <w:fldChar w:fldCharType="separate"/>
      </w:r>
      <w:r>
        <w:rPr>
          <w:rStyle w:val="14"/>
          <w:rFonts w:cs="黑体"/>
        </w:rPr>
        <w:t>七、免除审查</w:t>
      </w:r>
      <w:r>
        <w:tab/>
      </w:r>
      <w:r>
        <w:fldChar w:fldCharType="begin"/>
      </w:r>
      <w:r>
        <w:instrText xml:space="preserve"> PAGEREF _Toc154583292 \h </w:instrText>
      </w:r>
      <w:r>
        <w:fldChar w:fldCharType="separate"/>
      </w:r>
      <w:r>
        <w:t>5</w:t>
      </w:r>
      <w:r>
        <w:fldChar w:fldCharType="end"/>
      </w:r>
      <w:r>
        <w:fldChar w:fldCharType="end"/>
      </w:r>
    </w:p>
    <w:p w14:paraId="5F69C504">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"_Toc154583293" </w:instrText>
      </w:r>
      <w:r>
        <w:fldChar w:fldCharType="separate"/>
      </w:r>
      <w:r>
        <w:rPr>
          <w:rStyle w:val="14"/>
          <w:rFonts w:cs="黑体"/>
        </w:rPr>
        <w:t>八、免除知情同意</w:t>
      </w:r>
      <w:r>
        <w:tab/>
      </w:r>
      <w:r>
        <w:fldChar w:fldCharType="begin"/>
      </w:r>
      <w:r>
        <w:instrText xml:space="preserve"> PAGEREF _Toc154583293 \h </w:instrText>
      </w:r>
      <w:r>
        <w:fldChar w:fldCharType="separate"/>
      </w:r>
      <w:r>
        <w:t>5</w:t>
      </w:r>
      <w:r>
        <w:fldChar w:fldCharType="end"/>
      </w:r>
      <w:r>
        <w:fldChar w:fldCharType="end"/>
      </w:r>
    </w:p>
    <w:p w14:paraId="4C138CE0">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"_Toc154583294" </w:instrText>
      </w:r>
      <w:r>
        <w:fldChar w:fldCharType="separate"/>
      </w:r>
      <w:r>
        <w:rPr>
          <w:rStyle w:val="14"/>
          <w:rFonts w:cs="黑体"/>
        </w:rPr>
        <w:t>九、免除知情同意书签字</w:t>
      </w:r>
      <w:r>
        <w:tab/>
      </w:r>
      <w:r>
        <w:fldChar w:fldCharType="begin"/>
      </w:r>
      <w:r>
        <w:instrText xml:space="preserve"> PAGEREF _Toc154583294 \h </w:instrText>
      </w:r>
      <w:r>
        <w:fldChar w:fldCharType="separate"/>
      </w:r>
      <w:r>
        <w:t>5</w:t>
      </w:r>
      <w:r>
        <w:fldChar w:fldCharType="end"/>
      </w:r>
      <w:r>
        <w:fldChar w:fldCharType="end"/>
      </w:r>
    </w:p>
    <w:p w14:paraId="26FC1843">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"_Toc154583295" </w:instrText>
      </w:r>
      <w:r>
        <w:fldChar w:fldCharType="separate"/>
      </w:r>
      <w:r>
        <w:rPr>
          <w:rStyle w:val="14"/>
          <w:rFonts w:cs="黑体"/>
        </w:rPr>
        <w:t>十、联系方式</w:t>
      </w:r>
      <w:r>
        <w:tab/>
      </w:r>
      <w:r>
        <w:fldChar w:fldCharType="begin"/>
      </w:r>
      <w:r>
        <w:instrText xml:space="preserve"> PAGEREF _Toc154583295 \h </w:instrText>
      </w:r>
      <w:r>
        <w:fldChar w:fldCharType="separate"/>
      </w:r>
      <w:r>
        <w:t>6</w:t>
      </w:r>
      <w:r>
        <w:fldChar w:fldCharType="end"/>
      </w:r>
      <w:r>
        <w:fldChar w:fldCharType="end"/>
      </w:r>
    </w:p>
    <w:p w14:paraId="2FACDD00">
      <w:pPr>
        <w:pStyle w:val="9"/>
        <w:tabs>
          <w:tab w:val="right" w:leader="dot" w:pos="8302"/>
        </w:tabs>
        <w:rPr>
          <w:rFonts w:asciiTheme="minorHAnsi" w:hAnsiTheme="minorHAnsi" w:eastAsiaTheme="minorEastAsia" w:cstheme="minorBidi"/>
          <w:szCs w:val="22"/>
        </w:rPr>
      </w:pPr>
      <w:r>
        <w:fldChar w:fldCharType="begin"/>
      </w:r>
      <w:r>
        <w:instrText xml:space="preserve"> HYPERLINK \l "_Toc154583296" </w:instrText>
      </w:r>
      <w:r>
        <w:fldChar w:fldCharType="separate"/>
      </w:r>
      <w:r>
        <w:rPr>
          <w:rStyle w:val="14"/>
        </w:rPr>
        <w:t>十一、附件</w:t>
      </w:r>
      <w:r>
        <w:tab/>
      </w:r>
      <w:r>
        <w:fldChar w:fldCharType="begin"/>
      </w:r>
      <w:r>
        <w:instrText xml:space="preserve"> PAGEREF _Toc154583296 \h </w:instrText>
      </w:r>
      <w:r>
        <w:fldChar w:fldCharType="separate"/>
      </w:r>
      <w:r>
        <w:t>6</w:t>
      </w:r>
      <w:r>
        <w:fldChar w:fldCharType="end"/>
      </w:r>
      <w:r>
        <w:fldChar w:fldCharType="end"/>
      </w:r>
    </w:p>
    <w:p w14:paraId="6B4A5A42">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"_Toc154583297" </w:instrText>
      </w:r>
      <w:r>
        <w:fldChar w:fldCharType="separate"/>
      </w:r>
      <w:r>
        <w:rPr>
          <w:rStyle w:val="14"/>
        </w:rPr>
        <w:t>附件1：AF/SQ/LS01-V0</w:t>
      </w:r>
      <w:r>
        <w:rPr>
          <w:rStyle w:val="14"/>
          <w:rFonts w:hint="eastAsia"/>
        </w:rPr>
        <w:t>7</w:t>
      </w:r>
      <w:r>
        <w:rPr>
          <w:rStyle w:val="14"/>
          <w:rFonts w:hint="eastAsia"/>
          <w:lang w:val="en-US" w:eastAsia="zh-CN"/>
        </w:rPr>
        <w:t>.1</w:t>
      </w:r>
      <w:r>
        <w:rPr>
          <w:rStyle w:val="14"/>
        </w:rPr>
        <w:t>送审文件清单</w:t>
      </w:r>
      <w:r>
        <w:rPr>
          <w:rStyle w:val="14"/>
        </w:rPr>
        <w:fldChar w:fldCharType="end"/>
      </w:r>
    </w:p>
    <w:p w14:paraId="0A87F8BB">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"_Toc154583298" </w:instrText>
      </w:r>
      <w:r>
        <w:fldChar w:fldCharType="separate"/>
      </w:r>
      <w:r>
        <w:rPr>
          <w:rStyle w:val="14"/>
          <w:rFonts w:cs="宋体"/>
        </w:rPr>
        <w:t>附件2：</w:t>
      </w:r>
      <w:r>
        <w:rPr>
          <w:rStyle w:val="14"/>
        </w:rPr>
        <w:t>AF</w:t>
      </w:r>
      <w:r>
        <w:rPr>
          <w:rStyle w:val="14"/>
          <w:rFonts w:cs="宋体"/>
        </w:rPr>
        <w:t>/SQ/</w:t>
      </w:r>
      <w:r>
        <w:rPr>
          <w:rStyle w:val="14"/>
        </w:rPr>
        <w:t>LS02</w:t>
      </w:r>
      <w:r>
        <w:rPr>
          <w:rStyle w:val="14"/>
          <w:rFonts w:cs="宋体"/>
        </w:rPr>
        <w:t>-V0</w:t>
      </w:r>
      <w:r>
        <w:rPr>
          <w:rStyle w:val="14"/>
          <w:rFonts w:hint="eastAsia" w:cs="宋体"/>
        </w:rPr>
        <w:t>7</w:t>
      </w:r>
      <w:r>
        <w:rPr>
          <w:rStyle w:val="14"/>
          <w:rFonts w:cs="宋体"/>
        </w:rPr>
        <w:t>初始审查申请（临床试验用）</w:t>
      </w:r>
      <w:r>
        <w:rPr>
          <w:rStyle w:val="14"/>
          <w:rFonts w:cs="宋体"/>
        </w:rPr>
        <w:fldChar w:fldCharType="end"/>
      </w:r>
    </w:p>
    <w:p w14:paraId="4988EBDB">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"_Toc154583299" </w:instrText>
      </w:r>
      <w:r>
        <w:fldChar w:fldCharType="separate"/>
      </w:r>
      <w:r>
        <w:rPr>
          <w:rStyle w:val="14"/>
        </w:rPr>
        <w:t>附件3：AF/SQ/LS03-V0</w:t>
      </w:r>
      <w:r>
        <w:rPr>
          <w:rStyle w:val="14"/>
          <w:rFonts w:hint="eastAsia"/>
        </w:rPr>
        <w:t>7</w:t>
      </w:r>
      <w:r>
        <w:rPr>
          <w:rStyle w:val="14"/>
          <w:rFonts w:cs="宋体"/>
        </w:rPr>
        <w:t>修正案审查申请</w:t>
      </w:r>
      <w:r>
        <w:rPr>
          <w:rStyle w:val="14"/>
          <w:rFonts w:cs="宋体"/>
        </w:rPr>
        <w:fldChar w:fldCharType="end"/>
      </w:r>
    </w:p>
    <w:p w14:paraId="35C6C241">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"_Toc154583300" </w:instrText>
      </w:r>
      <w:r>
        <w:fldChar w:fldCharType="separate"/>
      </w:r>
      <w:r>
        <w:rPr>
          <w:rStyle w:val="14"/>
        </w:rPr>
        <w:t>附件4：AF/SQ/LS04-V0</w:t>
      </w:r>
      <w:r>
        <w:rPr>
          <w:rStyle w:val="14"/>
          <w:rFonts w:hint="eastAsia"/>
        </w:rPr>
        <w:t>7</w:t>
      </w:r>
      <w:r>
        <w:rPr>
          <w:rStyle w:val="14"/>
          <w:rFonts w:cs="宋体"/>
        </w:rPr>
        <w:t>研究进展报告</w:t>
      </w:r>
      <w:r>
        <w:rPr>
          <w:rStyle w:val="14"/>
          <w:rFonts w:cs="宋体"/>
        </w:rPr>
        <w:fldChar w:fldCharType="end"/>
      </w:r>
    </w:p>
    <w:p w14:paraId="5C923890">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"_Toc154583301" </w:instrText>
      </w:r>
      <w:r>
        <w:fldChar w:fldCharType="separate"/>
      </w:r>
      <w:r>
        <w:rPr>
          <w:rStyle w:val="14"/>
        </w:rPr>
        <w:t>附件5：AF/SQ/LS05-V0</w:t>
      </w:r>
      <w:r>
        <w:rPr>
          <w:rStyle w:val="14"/>
          <w:rFonts w:hint="eastAsia"/>
        </w:rPr>
        <w:t>7</w:t>
      </w:r>
      <w:r>
        <w:rPr>
          <w:rStyle w:val="14"/>
        </w:rPr>
        <w:t>严重</w:t>
      </w:r>
      <w:r>
        <w:rPr>
          <w:rStyle w:val="14"/>
          <w:rFonts w:cs="宋体"/>
        </w:rPr>
        <w:t>不良事件/特殊事件报告</w:t>
      </w:r>
      <w:r>
        <w:rPr>
          <w:rStyle w:val="14"/>
          <w:rFonts w:cs="宋体"/>
        </w:rPr>
        <w:fldChar w:fldCharType="end"/>
      </w:r>
    </w:p>
    <w:p w14:paraId="3D63E650">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"_Toc154583302" </w:instrText>
      </w:r>
      <w:r>
        <w:fldChar w:fldCharType="separate"/>
      </w:r>
      <w:r>
        <w:rPr>
          <w:rStyle w:val="14"/>
        </w:rPr>
        <w:t>附件6：AF/SQ/LS06-V0</w:t>
      </w:r>
      <w:r>
        <w:rPr>
          <w:rStyle w:val="14"/>
          <w:rFonts w:hint="eastAsia"/>
        </w:rPr>
        <w:t>7</w:t>
      </w:r>
      <w:r>
        <w:rPr>
          <w:rStyle w:val="14"/>
          <w:rFonts w:hint="eastAsia" w:cs="宋体"/>
        </w:rPr>
        <w:t>偏离/违背</w:t>
      </w:r>
      <w:r>
        <w:rPr>
          <w:rStyle w:val="14"/>
          <w:rFonts w:cs="宋体"/>
        </w:rPr>
        <w:t>方案报告</w:t>
      </w:r>
      <w:r>
        <w:rPr>
          <w:rStyle w:val="14"/>
          <w:rFonts w:cs="宋体"/>
        </w:rPr>
        <w:fldChar w:fldCharType="end"/>
      </w:r>
    </w:p>
    <w:p w14:paraId="34C493F1">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"_Toc154583303" </w:instrText>
      </w:r>
      <w:r>
        <w:fldChar w:fldCharType="separate"/>
      </w:r>
      <w:r>
        <w:rPr>
          <w:rStyle w:val="14"/>
        </w:rPr>
        <w:t>附件7：AF/SQ/LS07-V0</w:t>
      </w:r>
      <w:r>
        <w:rPr>
          <w:rStyle w:val="14"/>
          <w:rFonts w:hint="eastAsia"/>
        </w:rPr>
        <w:t>7</w:t>
      </w:r>
      <w:r>
        <w:rPr>
          <w:rStyle w:val="14"/>
          <w:rFonts w:cs="宋体"/>
        </w:rPr>
        <w:t>暂停</w:t>
      </w:r>
      <w:r>
        <w:rPr>
          <w:rStyle w:val="14"/>
        </w:rPr>
        <w:t>/</w:t>
      </w:r>
      <w:r>
        <w:rPr>
          <w:rStyle w:val="14"/>
          <w:rFonts w:cs="宋体"/>
        </w:rPr>
        <w:t>终止研究报告</w:t>
      </w:r>
      <w:r>
        <w:rPr>
          <w:rStyle w:val="14"/>
          <w:rFonts w:cs="宋体"/>
        </w:rPr>
        <w:fldChar w:fldCharType="end"/>
      </w:r>
    </w:p>
    <w:p w14:paraId="73417E16">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"_Toc154583304" </w:instrText>
      </w:r>
      <w:r>
        <w:fldChar w:fldCharType="separate"/>
      </w:r>
      <w:r>
        <w:rPr>
          <w:rStyle w:val="14"/>
        </w:rPr>
        <w:t>附件8：AF/SQ/LS08-V0</w:t>
      </w:r>
      <w:r>
        <w:rPr>
          <w:rStyle w:val="14"/>
          <w:rFonts w:hint="eastAsia"/>
        </w:rPr>
        <w:t>7</w:t>
      </w:r>
      <w:r>
        <w:rPr>
          <w:rStyle w:val="14"/>
          <w:rFonts w:hint="eastAsia" w:cs="宋体"/>
        </w:rPr>
        <w:t>研究完成</w:t>
      </w:r>
      <w:r>
        <w:rPr>
          <w:rStyle w:val="14"/>
          <w:rFonts w:cs="宋体"/>
        </w:rPr>
        <w:t>报告</w:t>
      </w:r>
      <w:r>
        <w:rPr>
          <w:rStyle w:val="14"/>
          <w:rFonts w:cs="宋体"/>
        </w:rPr>
        <w:fldChar w:fldCharType="end"/>
      </w:r>
    </w:p>
    <w:p w14:paraId="1823FC1B">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"_Toc154583305" </w:instrText>
      </w:r>
      <w:r>
        <w:fldChar w:fldCharType="separate"/>
      </w:r>
      <w:r>
        <w:rPr>
          <w:rStyle w:val="14"/>
        </w:rPr>
        <w:t>附件9：AF/SQ/LS09-V0</w:t>
      </w:r>
      <w:r>
        <w:rPr>
          <w:rStyle w:val="14"/>
          <w:rFonts w:hint="eastAsia"/>
        </w:rPr>
        <w:t>7</w:t>
      </w:r>
      <w:r>
        <w:rPr>
          <w:rStyle w:val="14"/>
          <w:rFonts w:cs="宋体"/>
        </w:rPr>
        <w:t>复审申请</w:t>
      </w:r>
      <w:r>
        <w:rPr>
          <w:rStyle w:val="14"/>
          <w:rFonts w:cs="宋体"/>
        </w:rPr>
        <w:fldChar w:fldCharType="end"/>
      </w:r>
    </w:p>
    <w:p w14:paraId="20AAED7D">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"_Toc154583306" </w:instrText>
      </w:r>
      <w:r>
        <w:fldChar w:fldCharType="separate"/>
      </w:r>
      <w:r>
        <w:rPr>
          <w:rStyle w:val="14"/>
        </w:rPr>
        <w:t>附件10：AF/SQ/LS10-V0</w:t>
      </w:r>
      <w:r>
        <w:rPr>
          <w:rStyle w:val="14"/>
          <w:rFonts w:hint="eastAsia"/>
        </w:rPr>
        <w:t>7</w:t>
      </w:r>
      <w:r>
        <w:rPr>
          <w:rStyle w:val="14"/>
          <w:rFonts w:cs="宋体"/>
        </w:rPr>
        <w:t>免疫程序对照说明表</w:t>
      </w:r>
      <w:r>
        <w:rPr>
          <w:rStyle w:val="14"/>
          <w:rFonts w:cs="宋体"/>
        </w:rPr>
        <w:fldChar w:fldCharType="end"/>
      </w:r>
    </w:p>
    <w:p w14:paraId="75FACEBA">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"_Toc154583307" </w:instrText>
      </w:r>
      <w:r>
        <w:fldChar w:fldCharType="separate"/>
      </w:r>
      <w:r>
        <w:rPr>
          <w:rStyle w:val="14"/>
        </w:rPr>
        <w:t>附件11：AF/SQ/LS11-V05</w:t>
      </w:r>
      <w:r>
        <w:rPr>
          <w:rStyle w:val="14"/>
          <w:rFonts w:cs="宋体"/>
        </w:rPr>
        <w:t>撰写要素</w:t>
      </w:r>
      <w:r>
        <w:rPr>
          <w:rStyle w:val="14"/>
          <w:rFonts w:cs="宋体"/>
        </w:rPr>
        <w:fldChar w:fldCharType="end"/>
      </w:r>
    </w:p>
    <w:p w14:paraId="39A44EA7">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"_Toc154583308" </w:instrText>
      </w:r>
      <w:r>
        <w:fldChar w:fldCharType="separate"/>
      </w:r>
      <w:r>
        <w:rPr>
          <w:rStyle w:val="14"/>
          <w:rFonts w:cs="宋体"/>
        </w:rPr>
        <w:t>附件</w:t>
      </w:r>
      <w:r>
        <w:rPr>
          <w:rStyle w:val="14"/>
        </w:rPr>
        <w:t>12</w:t>
      </w:r>
      <w:r>
        <w:rPr>
          <w:rStyle w:val="14"/>
          <w:rFonts w:cs="宋体"/>
        </w:rPr>
        <w:t>：AF/</w:t>
      </w:r>
      <w:r>
        <w:rPr>
          <w:rStyle w:val="14"/>
        </w:rPr>
        <w:t>SQ</w:t>
      </w:r>
      <w:r>
        <w:rPr>
          <w:rStyle w:val="14"/>
          <w:rFonts w:cs="宋体"/>
        </w:rPr>
        <w:t>/LS12-V05初始审查申请（科研项目用）</w:t>
      </w:r>
      <w:r>
        <w:rPr>
          <w:rStyle w:val="14"/>
          <w:rFonts w:cs="宋体"/>
        </w:rPr>
        <w:fldChar w:fldCharType="end"/>
      </w:r>
    </w:p>
    <w:p w14:paraId="6BBB058F">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"_Toc154583309" </w:instrText>
      </w:r>
      <w:r>
        <w:fldChar w:fldCharType="separate"/>
      </w:r>
      <w:r>
        <w:rPr>
          <w:rStyle w:val="14"/>
          <w:rFonts w:cs="宋体"/>
        </w:rPr>
        <w:t>附件13：AF/</w:t>
      </w:r>
      <w:r>
        <w:rPr>
          <w:rStyle w:val="14"/>
        </w:rPr>
        <w:t>SQ</w:t>
      </w:r>
      <w:r>
        <w:rPr>
          <w:rStyle w:val="14"/>
          <w:rFonts w:cs="宋体"/>
        </w:rPr>
        <w:t>/LS13-V05可疑且非预期严重不良反应报告</w:t>
      </w:r>
      <w:r>
        <w:rPr>
          <w:rStyle w:val="14"/>
          <w:rFonts w:cs="宋体"/>
        </w:rPr>
        <w:fldChar w:fldCharType="end"/>
      </w:r>
    </w:p>
    <w:p w14:paraId="114FC4C7">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"_Toc154583310" </w:instrText>
      </w:r>
      <w:r>
        <w:fldChar w:fldCharType="separate"/>
      </w:r>
      <w:r>
        <w:rPr>
          <w:rStyle w:val="14"/>
          <w:rFonts w:cs="宋体"/>
        </w:rPr>
        <w:t>附件14：AF/</w:t>
      </w:r>
      <w:r>
        <w:rPr>
          <w:rStyle w:val="14"/>
        </w:rPr>
        <w:t>SQ</w:t>
      </w:r>
      <w:r>
        <w:rPr>
          <w:rStyle w:val="14"/>
          <w:rFonts w:cs="宋体"/>
        </w:rPr>
        <w:t>/LS14-V03其他安全性信息报告</w:t>
      </w:r>
      <w:r>
        <w:rPr>
          <w:rStyle w:val="14"/>
          <w:rFonts w:cs="宋体"/>
        </w:rPr>
        <w:fldChar w:fldCharType="end"/>
      </w:r>
    </w:p>
    <w:p w14:paraId="5E5E9D17">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"_Toc154583311" </w:instrText>
      </w:r>
      <w:r>
        <w:fldChar w:fldCharType="separate"/>
      </w:r>
      <w:r>
        <w:rPr>
          <w:rStyle w:val="14"/>
          <w:rFonts w:cs="宋体"/>
        </w:rPr>
        <w:t>附件15：AF/</w:t>
      </w:r>
      <w:r>
        <w:rPr>
          <w:rStyle w:val="14"/>
        </w:rPr>
        <w:t>SQ</w:t>
      </w:r>
      <w:r>
        <w:rPr>
          <w:rStyle w:val="14"/>
          <w:rFonts w:cs="宋体"/>
        </w:rPr>
        <w:t>/LS15-V03免除伦理审查申请</w:t>
      </w:r>
      <w:r>
        <w:rPr>
          <w:rStyle w:val="14"/>
          <w:rFonts w:cs="宋体"/>
        </w:rPr>
        <w:fldChar w:fldCharType="end"/>
      </w:r>
    </w:p>
    <w:p w14:paraId="55D16CE8">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"_Toc154583312" </w:instrText>
      </w:r>
      <w:r>
        <w:fldChar w:fldCharType="separate"/>
      </w:r>
      <w:r>
        <w:rPr>
          <w:rStyle w:val="14"/>
          <w:rFonts w:cs="宋体"/>
        </w:rPr>
        <w:t>附件</w:t>
      </w:r>
      <w:r>
        <w:rPr>
          <w:rStyle w:val="14"/>
        </w:rPr>
        <w:t>16</w:t>
      </w:r>
      <w:r>
        <w:rPr>
          <w:rStyle w:val="14"/>
          <w:rFonts w:cs="宋体"/>
        </w:rPr>
        <w:t>：AF/</w:t>
      </w:r>
      <w:r>
        <w:rPr>
          <w:rStyle w:val="14"/>
        </w:rPr>
        <w:t>SQ</w:t>
      </w:r>
      <w:r>
        <w:rPr>
          <w:rStyle w:val="14"/>
          <w:rFonts w:cs="宋体"/>
        </w:rPr>
        <w:t>/LS16-V02初始审查申请（体外诊断试剂临床试验用）</w:t>
      </w:r>
      <w:r>
        <w:rPr>
          <w:rStyle w:val="14"/>
          <w:rFonts w:cs="宋体"/>
        </w:rPr>
        <w:fldChar w:fldCharType="end"/>
      </w:r>
    </w:p>
    <w:p w14:paraId="5E0281EF">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"_Toc154583313" </w:instrText>
      </w:r>
      <w:r>
        <w:fldChar w:fldCharType="separate"/>
      </w:r>
      <w:r>
        <w:rPr>
          <w:rStyle w:val="14"/>
        </w:rPr>
        <w:t>附件17：AF/SL/LS01-V0</w:t>
      </w:r>
      <w:r>
        <w:rPr>
          <w:rStyle w:val="14"/>
          <w:rFonts w:hint="eastAsia"/>
        </w:rPr>
        <w:t>7</w:t>
      </w:r>
      <w:r>
        <w:rPr>
          <w:rStyle w:val="14"/>
          <w:rFonts w:cs="宋体"/>
        </w:rPr>
        <w:t>补充</w:t>
      </w:r>
      <w:r>
        <w:rPr>
          <w:rStyle w:val="14"/>
        </w:rPr>
        <w:t>/</w:t>
      </w:r>
      <w:r>
        <w:rPr>
          <w:rStyle w:val="14"/>
          <w:rFonts w:cs="宋体"/>
        </w:rPr>
        <w:t>修改送审材料通知</w:t>
      </w:r>
      <w:r>
        <w:rPr>
          <w:rStyle w:val="14"/>
          <w:rFonts w:cs="宋体"/>
        </w:rPr>
        <w:fldChar w:fldCharType="end"/>
      </w:r>
    </w:p>
    <w:p w14:paraId="21ADFF91">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"_Toc154583314" </w:instrText>
      </w:r>
      <w:r>
        <w:fldChar w:fldCharType="separate"/>
      </w:r>
      <w:r>
        <w:rPr>
          <w:rStyle w:val="14"/>
        </w:rPr>
        <w:t>附件18：AF/SL/LS02-V0</w:t>
      </w:r>
      <w:r>
        <w:rPr>
          <w:rStyle w:val="14"/>
          <w:rFonts w:hint="eastAsia"/>
        </w:rPr>
        <w:t>7</w:t>
      </w:r>
      <w:r>
        <w:rPr>
          <w:rStyle w:val="14"/>
          <w:rFonts w:cs="宋体"/>
        </w:rPr>
        <w:t>受理通知</w:t>
      </w:r>
      <w:r>
        <w:rPr>
          <w:rStyle w:val="14"/>
          <w:rFonts w:cs="宋体"/>
        </w:rPr>
        <w:fldChar w:fldCharType="end"/>
      </w:r>
    </w:p>
    <w:p w14:paraId="2CB0C5E3">
      <w:pPr>
        <w:pStyle w:val="10"/>
        <w:tabs>
          <w:tab w:val="right" w:leader="dot" w:pos="8302"/>
        </w:tabs>
        <w:rPr>
          <w:rFonts w:asciiTheme="minorHAnsi" w:hAnsiTheme="minorHAnsi" w:eastAsiaTheme="minorEastAsia" w:cstheme="minorBidi"/>
          <w:szCs w:val="22"/>
        </w:rPr>
      </w:pPr>
      <w:r>
        <w:fldChar w:fldCharType="begin"/>
      </w:r>
      <w:r>
        <w:instrText xml:space="preserve"> HYPERLINK \l "_Toc154583315" </w:instrText>
      </w:r>
      <w:r>
        <w:fldChar w:fldCharType="separate"/>
      </w:r>
      <w:r>
        <w:rPr>
          <w:rStyle w:val="14"/>
        </w:rPr>
        <w:t>附件19：AF/SL/LS03-V0</w:t>
      </w:r>
      <w:r>
        <w:rPr>
          <w:rStyle w:val="14"/>
          <w:rFonts w:hint="eastAsia"/>
        </w:rPr>
        <w:t>7</w:t>
      </w:r>
      <w:r>
        <w:rPr>
          <w:rStyle w:val="14"/>
          <w:rFonts w:cs="宋体"/>
        </w:rPr>
        <w:t>主要研究者简历</w:t>
      </w:r>
      <w:r>
        <w:rPr>
          <w:rStyle w:val="14"/>
          <w:rFonts w:cs="宋体"/>
        </w:rPr>
        <w:fldChar w:fldCharType="end"/>
      </w:r>
    </w:p>
    <w:p w14:paraId="19D21A8E">
      <w:pPr>
        <w:ind w:firstLine="420" w:firstLineChars="200"/>
      </w:pPr>
      <w:r>
        <w:rPr>
          <w:b/>
          <w:bCs/>
          <w:lang w:val="zh-CN"/>
        </w:rPr>
        <w:fldChar w:fldCharType="end"/>
      </w:r>
    </w:p>
    <w:p w14:paraId="47BECCC3">
      <w:pPr>
        <w:jc w:val="center"/>
        <w:rPr>
          <w:rFonts w:eastAsia="黑体"/>
          <w:sz w:val="24"/>
          <w:szCs w:val="24"/>
        </w:rPr>
      </w:pPr>
    </w:p>
    <w:p w14:paraId="0374D572">
      <w:pPr>
        <w:rPr>
          <w:rFonts w:eastAsia="黑体"/>
          <w:sz w:val="24"/>
          <w:szCs w:val="24"/>
        </w:rPr>
      </w:pPr>
    </w:p>
    <w:p w14:paraId="6C2FE23A">
      <w:pPr>
        <w:jc w:val="center"/>
        <w:rPr>
          <w:rFonts w:eastAsia="黑体"/>
          <w:sz w:val="24"/>
          <w:szCs w:val="24"/>
        </w:rPr>
      </w:pPr>
    </w:p>
    <w:p w14:paraId="6C31C5F8">
      <w:pPr>
        <w:jc w:val="center"/>
        <w:rPr>
          <w:rFonts w:eastAsia="黑体"/>
          <w:sz w:val="24"/>
          <w:szCs w:val="24"/>
        </w:rPr>
      </w:pPr>
    </w:p>
    <w:p w14:paraId="28F0632F">
      <w:pPr>
        <w:jc w:val="center"/>
        <w:rPr>
          <w:rFonts w:eastAsia="黑体"/>
          <w:sz w:val="28"/>
          <w:szCs w:val="28"/>
        </w:rPr>
      </w:pPr>
      <w:r>
        <w:rPr>
          <w:rFonts w:hint="eastAsia" w:eastAsia="黑体" w:cs="黑体"/>
          <w:sz w:val="28"/>
          <w:szCs w:val="28"/>
        </w:rPr>
        <w:t>伦理审查申请</w:t>
      </w:r>
      <w:r>
        <w:rPr>
          <w:rFonts w:eastAsia="黑体"/>
          <w:sz w:val="28"/>
          <w:szCs w:val="28"/>
        </w:rPr>
        <w:t>/</w:t>
      </w:r>
      <w:r>
        <w:rPr>
          <w:rFonts w:hint="eastAsia" w:eastAsia="黑体" w:cs="黑体"/>
          <w:sz w:val="28"/>
          <w:szCs w:val="28"/>
        </w:rPr>
        <w:t>报告指南</w:t>
      </w:r>
    </w:p>
    <w:p w14:paraId="6D294300">
      <w:pPr>
        <w:jc w:val="center"/>
        <w:rPr>
          <w:rFonts w:eastAsia="黑体"/>
          <w:sz w:val="24"/>
          <w:szCs w:val="24"/>
        </w:rPr>
      </w:pPr>
      <w:r>
        <w:rPr>
          <w:rFonts w:eastAsia="黑体"/>
          <w:sz w:val="24"/>
          <w:szCs w:val="24"/>
        </w:rPr>
        <w:t>Guideline for Submitting/Reporting for Ethical Review</w:t>
      </w:r>
    </w:p>
    <w:p w14:paraId="1B90E418">
      <w:pPr>
        <w:jc w:val="center"/>
      </w:pPr>
    </w:p>
    <w:p w14:paraId="733BE25C">
      <w:pPr>
        <w:ind w:firstLine="420" w:firstLineChars="200"/>
      </w:pPr>
      <w:r>
        <w:rPr>
          <w:rFonts w:hint="eastAsia" w:cs="宋体"/>
        </w:rPr>
        <w:t>为指导主要研究者</w:t>
      </w:r>
      <w:r>
        <w:t>/</w:t>
      </w:r>
      <w:r>
        <w:rPr>
          <w:rFonts w:hint="eastAsia" w:cs="宋体"/>
        </w:rPr>
        <w:t>申办者、课题负责人提交疫苗临床试验项目、体外诊断试剂临床试验项目及涉及人的生命科学和医学研究科研课题的伦理审查申请</w:t>
      </w:r>
      <w:r>
        <w:t>/</w:t>
      </w:r>
      <w:r>
        <w:rPr>
          <w:rFonts w:hint="eastAsia" w:cs="宋体"/>
        </w:rPr>
        <w:t>报告，特制定本指南。</w:t>
      </w:r>
    </w:p>
    <w:p w14:paraId="66CFCBE3">
      <w:pPr>
        <w:pStyle w:val="2"/>
      </w:pPr>
      <w:bookmarkStart w:id="0" w:name="_Toc154583286"/>
      <w:r>
        <w:rPr>
          <w:rFonts w:hint="eastAsia" w:cs="黑体"/>
        </w:rPr>
        <w:t>一、提交伦理审查的研究项目范围</w:t>
      </w:r>
      <w:bookmarkEnd w:id="0"/>
    </w:p>
    <w:p w14:paraId="715B021A">
      <w:pPr>
        <w:pStyle w:val="5"/>
        <w:rPr>
          <w:rFonts w:ascii="宋体"/>
        </w:rPr>
      </w:pPr>
      <w:r>
        <w:rPr>
          <w:rFonts w:hint="eastAsia" w:cs="宋体"/>
        </w:rPr>
        <w:t>根据</w:t>
      </w:r>
      <w:r>
        <w:rPr>
          <w:rFonts w:ascii="Helvetica" w:hAnsi="Helvetica" w:eastAsia="Helvetica" w:cs="Helvetica"/>
          <w:color w:val="333333"/>
          <w:shd w:val="clear" w:color="auto" w:fill="FFFFFF"/>
        </w:rPr>
        <w:t>《科技伦理审查办法（试行）》</w:t>
      </w:r>
      <w:r>
        <w:rPr>
          <w:rFonts w:hint="eastAsia" w:ascii="宋体" w:hAnsi="宋体" w:cs="宋体"/>
          <w:kern w:val="0"/>
        </w:rPr>
        <w:t>（2023年）、</w:t>
      </w:r>
      <w:r>
        <w:rPr>
          <w:rFonts w:hint="eastAsia" w:cs="宋体"/>
        </w:rPr>
        <w:t>国家卫生健康委教育部科技部和中医药局《涉及人的生命科学和医学研究伦理审查办法》（2023年）、科技部《人类遗传资源管理条例实施细则》（2023年）、原国家食品药品监督管理总局《疫苗临床试验技术指导原则》（</w:t>
      </w:r>
      <w:r>
        <w:t>200</w:t>
      </w:r>
      <w:r>
        <w:rPr>
          <w:rFonts w:hint="eastAsia"/>
        </w:rPr>
        <w:t>4</w:t>
      </w:r>
      <w:r>
        <w:rPr>
          <w:rFonts w:hint="eastAsia" w:cs="宋体"/>
        </w:rPr>
        <w:t>年），《疫苗临床试验质量管理指导原则</w:t>
      </w:r>
      <w:r>
        <w:t>(</w:t>
      </w:r>
      <w:r>
        <w:rPr>
          <w:rFonts w:hint="eastAsia" w:cs="宋体"/>
        </w:rPr>
        <w:t>试行</w:t>
      </w:r>
      <w:r>
        <w:t>)</w:t>
      </w:r>
      <w:r>
        <w:rPr>
          <w:rFonts w:hint="eastAsia" w:cs="宋体"/>
        </w:rPr>
        <w:t>》（</w:t>
      </w:r>
      <w:r>
        <w:t>2013</w:t>
      </w:r>
      <w:r>
        <w:rPr>
          <w:rFonts w:hint="eastAsia" w:cs="宋体"/>
        </w:rPr>
        <w:t>年），《药物临床试验伦理审查工作指导原则》（</w:t>
      </w:r>
      <w:r>
        <w:t>2010</w:t>
      </w:r>
      <w:r>
        <w:rPr>
          <w:rFonts w:hint="eastAsia" w:cs="宋体"/>
        </w:rPr>
        <w:t>年），原</w:t>
      </w:r>
      <w:r>
        <w:t>国家卫生和计划生育委员会《涉及人的生物医学研究伦理审查办法》（2016年）</w:t>
      </w:r>
      <w:r>
        <w:rPr>
          <w:rFonts w:hint="eastAsia" w:cs="宋体"/>
        </w:rPr>
        <w:t>，</w:t>
      </w:r>
      <w:r>
        <w:t>《</w:t>
      </w:r>
      <w:r>
        <w:rPr>
          <w:rFonts w:hint="eastAsia"/>
        </w:rPr>
        <w:t>医疗器械临床试验质量管理规范</w:t>
      </w:r>
      <w:r>
        <w:t>》（2022年）</w:t>
      </w:r>
      <w:r>
        <w:rPr>
          <w:rFonts w:hint="eastAsia" w:cs="宋体"/>
        </w:rPr>
        <w:t>，《药物临床试验质量管理规范》（2</w:t>
      </w:r>
      <w:r>
        <w:rPr>
          <w:rFonts w:cs="宋体"/>
        </w:rPr>
        <w:t>020</w:t>
      </w:r>
      <w:r>
        <w:rPr>
          <w:rFonts w:hint="eastAsia" w:cs="宋体"/>
        </w:rPr>
        <w:t>年），《世界医学大会赫尔辛基宣言》（</w:t>
      </w:r>
      <w:r>
        <w:t>20</w:t>
      </w:r>
      <w:r>
        <w:rPr>
          <w:rFonts w:hint="eastAsia"/>
        </w:rPr>
        <w:t>24</w:t>
      </w:r>
      <w:r>
        <w:rPr>
          <w:rFonts w:hint="eastAsia" w:cs="宋体"/>
        </w:rPr>
        <w:t>年），</w:t>
      </w:r>
      <w:r>
        <w:rPr>
          <w:rFonts w:hint="eastAsia" w:ascii="宋体" w:hAnsi="宋体" w:cs="宋体"/>
          <w:color w:val="000000"/>
          <w:shd w:val="clear" w:color="auto" w:fill="FFFFFF"/>
        </w:rPr>
        <w:t>国际医学科学组织理事会《涉及人的健康相关研究国际伦理准则》（</w:t>
      </w:r>
      <w:r>
        <w:rPr>
          <w:rFonts w:hint="default" w:ascii="Times New Roman" w:hAnsi="Times New Roman" w:cs="Times New Roman"/>
          <w:shd w:val="clear"/>
        </w:rPr>
        <w:t>2016</w:t>
      </w:r>
      <w:bookmarkStart w:id="1" w:name="OLE_LINK2"/>
      <w:r>
        <w:rPr>
          <w:rFonts w:hint="default" w:ascii="Times New Roman" w:hAnsi="Times New Roman" w:cs="Times New Roman"/>
          <w:shd w:val="clear"/>
        </w:rPr>
        <w:t>版</w:t>
      </w:r>
      <w:bookmarkEnd w:id="1"/>
      <w:bookmarkStart w:id="36" w:name="_GoBack"/>
      <w:bookmarkEnd w:id="36"/>
      <w:r>
        <w:rPr>
          <w:rFonts w:hint="eastAsia" w:ascii="宋体" w:hAnsi="宋体" w:cs="宋体"/>
          <w:color w:val="000000"/>
          <w:shd w:val="clear" w:color="auto" w:fill="FFFFFF"/>
        </w:rPr>
        <w:t>）</w:t>
      </w:r>
      <w:r>
        <w:rPr>
          <w:rFonts w:hint="eastAsia" w:cs="宋体"/>
        </w:rPr>
        <w:t>等法规、政策与指南的规定。下列范围的研究项目应依据本指南提交伦理审查申请</w:t>
      </w:r>
      <w:r>
        <w:t>/</w:t>
      </w:r>
      <w:r>
        <w:rPr>
          <w:rFonts w:hint="eastAsia" w:cs="宋体"/>
        </w:rPr>
        <w:t>报告：</w:t>
      </w:r>
    </w:p>
    <w:p w14:paraId="59CEAF4D">
      <w:pPr>
        <w:pStyle w:val="5"/>
        <w:numPr>
          <w:ilvl w:val="1"/>
          <w:numId w:val="1"/>
        </w:numPr>
        <w:ind w:firstLineChars="0"/>
        <w:rPr>
          <w:rFonts w:ascii="宋体"/>
        </w:rPr>
      </w:pPr>
      <w:r>
        <w:rPr>
          <w:rFonts w:hint="eastAsia" w:cs="宋体"/>
        </w:rPr>
        <w:t>疫苗临床试验。</w:t>
      </w:r>
    </w:p>
    <w:p w14:paraId="6603B582">
      <w:pPr>
        <w:pStyle w:val="5"/>
        <w:numPr>
          <w:ilvl w:val="1"/>
          <w:numId w:val="1"/>
        </w:numPr>
        <w:ind w:firstLineChars="0"/>
        <w:rPr>
          <w:rFonts w:ascii="宋体"/>
        </w:rPr>
      </w:pPr>
      <w:r>
        <w:rPr>
          <w:rFonts w:hint="eastAsia" w:cs="宋体"/>
        </w:rPr>
        <w:t>体外诊断试剂临床试验。</w:t>
      </w:r>
    </w:p>
    <w:p w14:paraId="47F71190">
      <w:pPr>
        <w:pStyle w:val="5"/>
        <w:numPr>
          <w:ilvl w:val="1"/>
          <w:numId w:val="1"/>
        </w:numPr>
        <w:ind w:firstLineChars="0"/>
      </w:pPr>
      <w:r>
        <w:rPr>
          <w:rFonts w:hint="eastAsia" w:cs="宋体"/>
        </w:rPr>
        <w:t>涉及人的生命科学和医学研究科研课题。</w:t>
      </w:r>
    </w:p>
    <w:p w14:paraId="1117AC11">
      <w:pPr>
        <w:pStyle w:val="2"/>
      </w:pPr>
      <w:bookmarkStart w:id="2" w:name="_Toc154583287"/>
      <w:bookmarkStart w:id="3" w:name="OLE_LINK3"/>
      <w:r>
        <w:rPr>
          <w:rFonts w:hint="eastAsia" w:cs="黑体"/>
        </w:rPr>
        <w:t>二、伦理审查申请</w:t>
      </w:r>
      <w:r>
        <w:t>/</w:t>
      </w:r>
      <w:r>
        <w:rPr>
          <w:rFonts w:hint="eastAsia" w:cs="黑体"/>
        </w:rPr>
        <w:t>报告的类别</w:t>
      </w:r>
      <w:bookmarkEnd w:id="2"/>
    </w:p>
    <w:bookmarkEnd w:id="3"/>
    <w:p w14:paraId="30D3F000">
      <w:pPr>
        <w:ind w:left="420"/>
      </w:pPr>
      <w:r>
        <w:t xml:space="preserve">1. </w:t>
      </w:r>
      <w:r>
        <w:rPr>
          <w:rFonts w:hint="eastAsia" w:cs="宋体"/>
        </w:rPr>
        <w:t>初始审查</w:t>
      </w:r>
    </w:p>
    <w:p w14:paraId="4FA68174">
      <w:pPr>
        <w:numPr>
          <w:ilvl w:val="1"/>
          <w:numId w:val="2"/>
        </w:numPr>
      </w:pPr>
      <w:r>
        <w:rPr>
          <w:rFonts w:hint="eastAsia" w:cs="宋体"/>
        </w:rPr>
        <w:t>初始审查申请：</w:t>
      </w:r>
      <w:r>
        <w:rPr>
          <w:rFonts w:hint="eastAsia" w:cs="宋体"/>
          <w:kern w:val="0"/>
        </w:rPr>
        <w:t>符合</w:t>
      </w:r>
      <w:r>
        <w:rPr>
          <w:rFonts w:hint="eastAsia" w:cs="宋体"/>
        </w:rPr>
        <w:t>上述范围的研究项目，应在研究开始前提交伦理审查申请，经批准后方可实施。“初始审查申请”是指首次向伦理审查委员会提交的审查申请。</w:t>
      </w:r>
    </w:p>
    <w:p w14:paraId="252C63FB">
      <w:pPr>
        <w:ind w:left="420"/>
      </w:pPr>
      <w:r>
        <w:t xml:space="preserve">2. </w:t>
      </w:r>
      <w:r>
        <w:rPr>
          <w:rFonts w:hint="eastAsia" w:cs="宋体"/>
        </w:rPr>
        <w:t>跟踪审查</w:t>
      </w:r>
    </w:p>
    <w:p w14:paraId="3E40ACB3">
      <w:pPr>
        <w:numPr>
          <w:ilvl w:val="1"/>
          <w:numId w:val="2"/>
        </w:numPr>
      </w:pPr>
      <w:r>
        <w:rPr>
          <w:rFonts w:hint="eastAsia" w:cs="宋体"/>
        </w:rPr>
        <w:t>修正案审查申请：研究过程中若变更主要研究者，对临床试验或研究方案、知情同意书、招募材料等的任何修改，应向伦理审查委员会提交修正案审查申请，经批准后执行。特殊情况</w:t>
      </w:r>
      <w:r>
        <w:rPr>
          <w:rFonts w:cs="宋体"/>
        </w:rPr>
        <w:t>下，</w:t>
      </w:r>
      <w:r>
        <w:rPr>
          <w:rFonts w:hint="eastAsia" w:cs="宋体"/>
        </w:rPr>
        <w:t>为避免研究对研究对象的即刻危险，研究者可在伦理审查委员会批准前修改研究方案，事后应将修改研究方案的情况及原因，以“修正案审查申请”的方式及时提交伦理审查委员会审查。</w:t>
      </w:r>
    </w:p>
    <w:p w14:paraId="6430306C">
      <w:pPr>
        <w:numPr>
          <w:ilvl w:val="1"/>
          <w:numId w:val="2"/>
        </w:numPr>
      </w:pPr>
      <w:r>
        <w:rPr>
          <w:rFonts w:hint="eastAsia" w:cs="宋体"/>
        </w:rPr>
        <w:t>研究进展报告：应按照伦理审查批件</w:t>
      </w:r>
      <w:r>
        <w:t>/</w:t>
      </w:r>
      <w:r>
        <w:rPr>
          <w:rFonts w:hint="eastAsia" w:cs="宋体"/>
        </w:rPr>
        <w:t>意见规定的年度</w:t>
      </w:r>
      <w:r>
        <w:t>/</w:t>
      </w:r>
      <w:r>
        <w:rPr>
          <w:rFonts w:hint="eastAsia" w:cs="宋体"/>
        </w:rPr>
        <w:t>定期跟踪审查频率，在截止日期前提交研究进展报告；当出现任何可能显著影响研究进行或增加研究对象危险的情况时，应以“研究进展报告”的方式，及时报告伦理审查委员会。如果伦理审查批件有效期到期，需要申请延长批件有效期，应通过“研究进展报告”提前1个月申请。</w:t>
      </w:r>
    </w:p>
    <w:p w14:paraId="5C038FDB">
      <w:pPr>
        <w:numPr>
          <w:ilvl w:val="1"/>
          <w:numId w:val="2"/>
        </w:numPr>
        <w:rPr>
          <w:highlight w:val="none"/>
        </w:rPr>
      </w:pPr>
      <w:r>
        <w:rPr>
          <w:rFonts w:hint="eastAsia" w:cs="宋体"/>
        </w:rPr>
        <w:t>SUSAR（可疑且非预期严重不良反应）报告：</w:t>
      </w:r>
      <w:r>
        <w:rPr>
          <w:rFonts w:cs="宋体"/>
        </w:rPr>
        <w:t>指临床表现的性质和严重程度超出了试验药物研究者手册、已上市药品的说明书或者产品特性摘要等已有资料信息的可疑并且非预期的严重不良反应。</w:t>
      </w:r>
      <w:r>
        <w:rPr>
          <w:rFonts w:hint="eastAsia" w:cs="宋体"/>
        </w:rPr>
        <w:t>发生SUSAR，申请人应及时提交可疑且非预</w:t>
      </w:r>
      <w:r>
        <w:rPr>
          <w:rFonts w:hint="eastAsia" w:cs="宋体"/>
          <w:highlight w:val="none"/>
        </w:rPr>
        <w:t>期严重不良反应报告。</w:t>
      </w:r>
    </w:p>
    <w:p w14:paraId="3BB1BC84">
      <w:pPr>
        <w:numPr>
          <w:ilvl w:val="1"/>
          <w:numId w:val="2"/>
        </w:numPr>
        <w:rPr>
          <w:rFonts w:cs="宋体"/>
          <w:highlight w:val="none"/>
        </w:rPr>
      </w:pPr>
      <w:r>
        <w:rPr>
          <w:rFonts w:hint="eastAsia" w:cs="宋体"/>
          <w:highlight w:val="none"/>
        </w:rPr>
        <w:t>严重不良事件/特殊事件报告：严重不良事件是指临床试验或研究过程中发生导致死亡、威胁生命、住院或住院时间延长、导致残废</w:t>
      </w:r>
      <w:r>
        <w:rPr>
          <w:rFonts w:cs="宋体"/>
          <w:highlight w:val="none"/>
        </w:rPr>
        <w:t>/</w:t>
      </w:r>
      <w:r>
        <w:rPr>
          <w:rFonts w:hint="eastAsia" w:cs="宋体"/>
          <w:highlight w:val="none"/>
        </w:rPr>
        <w:t>丧失生活能力、或导致研究对象后代先天畸形</w:t>
      </w:r>
      <w:r>
        <w:rPr>
          <w:rFonts w:cs="宋体"/>
          <w:highlight w:val="none"/>
        </w:rPr>
        <w:t>/</w:t>
      </w:r>
      <w:r>
        <w:rPr>
          <w:rFonts w:hint="eastAsia" w:cs="宋体"/>
          <w:highlight w:val="none"/>
        </w:rPr>
        <w:t>出生缺陷的医学事件。特殊事件包括特别关注的不良事件（</w:t>
      </w:r>
      <w:r>
        <w:rPr>
          <w:rFonts w:cs="宋体"/>
          <w:highlight w:val="none"/>
        </w:rPr>
        <w:t>AESI</w:t>
      </w:r>
      <w:r>
        <w:rPr>
          <w:rFonts w:hint="eastAsia" w:cs="宋体"/>
          <w:highlight w:val="none"/>
        </w:rPr>
        <w:t>）、方案规定的避孕期内发生的妊娠事件、避孕期外发生</w:t>
      </w:r>
      <w:r>
        <w:rPr>
          <w:rFonts w:hint="eastAsia" w:cs="宋体"/>
          <w:highlight w:val="none"/>
          <w:lang w:eastAsia="zh-CN"/>
        </w:rPr>
        <w:t>的</w:t>
      </w:r>
      <w:r>
        <w:rPr>
          <w:rFonts w:hint="eastAsia" w:cs="宋体"/>
          <w:highlight w:val="none"/>
        </w:rPr>
        <w:t>异常</w:t>
      </w:r>
      <w:r>
        <w:rPr>
          <w:rFonts w:hint="eastAsia" w:cs="宋体"/>
          <w:highlight w:val="none"/>
          <w:lang w:eastAsia="zh-CN"/>
        </w:rPr>
        <w:t>妊娠</w:t>
      </w:r>
      <w:r>
        <w:rPr>
          <w:rFonts w:hint="eastAsia" w:cs="宋体"/>
          <w:highlight w:val="none"/>
        </w:rPr>
        <w:t>及其他临床试验方案中规定的需报告事件。方案规定</w:t>
      </w:r>
      <w:r>
        <w:rPr>
          <w:rFonts w:hint="eastAsia" w:cs="宋体"/>
          <w:highlight w:val="none"/>
          <w:lang w:eastAsia="zh-CN"/>
        </w:rPr>
        <w:t>的</w:t>
      </w:r>
      <w:r>
        <w:rPr>
          <w:rFonts w:hint="eastAsia" w:cs="宋体"/>
          <w:highlight w:val="none"/>
        </w:rPr>
        <w:t>避孕期内发生的妊娠事件需同时报方案偏离/违背报告。研究期间发生的所有严重不良事件和特殊事件均需在法规要求的时限内报送伦理审查委员会。</w:t>
      </w:r>
    </w:p>
    <w:p w14:paraId="398C8C44">
      <w:pPr>
        <w:numPr>
          <w:ilvl w:val="1"/>
          <w:numId w:val="2"/>
        </w:numPr>
        <w:rPr>
          <w:rFonts w:cs="宋体"/>
        </w:rPr>
      </w:pPr>
      <w:r>
        <w:rPr>
          <w:rFonts w:hint="eastAsia" w:cs="宋体"/>
        </w:rPr>
        <w:t>方案偏离/违背报告：方案偏离/违背即任何不遵从伦理委员会同意的试验方案、</w:t>
      </w:r>
      <w:r>
        <w:rPr>
          <w:rFonts w:cs="宋体"/>
        </w:rPr>
        <w:t>GCP</w:t>
      </w:r>
      <w:r>
        <w:rPr>
          <w:rFonts w:hint="eastAsia" w:cs="宋体"/>
        </w:rPr>
        <w:t>原则和相关法律法规要求的情况。为避免研究对受试者的紧急危险，研究者可在伦理委员会同意前偏离</w:t>
      </w:r>
      <w:r>
        <w:rPr>
          <w:rFonts w:cs="宋体"/>
        </w:rPr>
        <w:t>/</w:t>
      </w:r>
      <w:r>
        <w:rPr>
          <w:rFonts w:hint="eastAsia" w:cs="宋体"/>
        </w:rPr>
        <w:t>违背研究方案，事后应当及时向伦理委员会报告任何偏离</w:t>
      </w:r>
      <w:r>
        <w:rPr>
          <w:rFonts w:cs="宋体"/>
        </w:rPr>
        <w:t>/</w:t>
      </w:r>
      <w:r>
        <w:rPr>
          <w:rFonts w:hint="eastAsia" w:cs="宋体"/>
        </w:rPr>
        <w:t>违背已同意方案之处并做解释。重要</w:t>
      </w:r>
      <w:r>
        <w:rPr>
          <w:rFonts w:cs="宋体"/>
        </w:rPr>
        <w:t>/</w:t>
      </w:r>
      <w:r>
        <w:rPr>
          <w:rFonts w:hint="eastAsia" w:cs="宋体"/>
        </w:rPr>
        <w:t>严重的方案偏离</w:t>
      </w:r>
      <w:r>
        <w:rPr>
          <w:rFonts w:cs="宋体"/>
        </w:rPr>
        <w:t>/</w:t>
      </w:r>
      <w:r>
        <w:rPr>
          <w:rFonts w:hint="eastAsia" w:cs="宋体"/>
        </w:rPr>
        <w:t>违背（如可能显著影响试验数据的完整性、准确性或可靠性，或可能显著影响受试者的权益、安全和健康）应及时报告，包括但不限于：①研究纳入了不符合纳入标准或符合排除标准的受试者；符合中止试验规定而未让受试者退出研究；给予错误用药（包括疫苗）剂量；给予方案禁止的合并用药（包括疫苗）等没有遵从方案开展研究的情况；或可能对受试者的权益</w:t>
      </w:r>
      <w:r>
        <w:rPr>
          <w:rFonts w:cs="宋体"/>
        </w:rPr>
        <w:t>/</w:t>
      </w:r>
      <w:r>
        <w:rPr>
          <w:rFonts w:hint="eastAsia" w:cs="宋体"/>
        </w:rPr>
        <w:t>健康以及研究的科学性造成显著影响等违背</w:t>
      </w:r>
      <w:r>
        <w:rPr>
          <w:rFonts w:cs="宋体"/>
        </w:rPr>
        <w:t>GCP</w:t>
      </w:r>
      <w:r>
        <w:rPr>
          <w:rFonts w:hint="eastAsia" w:cs="宋体"/>
        </w:rPr>
        <w:t>原则的情况；②持续方案偏离</w:t>
      </w:r>
      <w:r>
        <w:rPr>
          <w:rFonts w:cs="宋体"/>
        </w:rPr>
        <w:t>/</w:t>
      </w:r>
      <w:r>
        <w:rPr>
          <w:rFonts w:hint="eastAsia" w:cs="宋体"/>
        </w:rPr>
        <w:t>违背（同一研究人员的同一违规行为在被要求纠正后再次发生）；研究者不配合监察</w:t>
      </w:r>
      <w:r>
        <w:rPr>
          <w:rFonts w:cs="宋体"/>
        </w:rPr>
        <w:t>/</w:t>
      </w:r>
      <w:r>
        <w:rPr>
          <w:rFonts w:hint="eastAsia" w:cs="宋体"/>
        </w:rPr>
        <w:t>稽查；对违规事件不予以纠正；方案所定义的需向伦理委员会报告的重要</w:t>
      </w:r>
      <w:r>
        <w:rPr>
          <w:rFonts w:cs="宋体"/>
        </w:rPr>
        <w:t>/</w:t>
      </w:r>
      <w:r>
        <w:rPr>
          <w:rFonts w:hint="eastAsia" w:cs="宋体"/>
        </w:rPr>
        <w:t>严重的方案偏离</w:t>
      </w:r>
      <w:r>
        <w:rPr>
          <w:rFonts w:cs="宋体"/>
        </w:rPr>
        <w:t>/</w:t>
      </w:r>
      <w:r>
        <w:rPr>
          <w:rFonts w:hint="eastAsia" w:cs="宋体"/>
        </w:rPr>
        <w:t>违背。不属于上述范围的</w:t>
      </w:r>
      <w:r>
        <w:rPr>
          <w:rFonts w:hint="eastAsia" w:cs="宋体"/>
          <w:lang w:eastAsia="zh-CN"/>
        </w:rPr>
        <w:t>轻度</w:t>
      </w:r>
      <w:r>
        <w:rPr>
          <w:rFonts w:hint="eastAsia" w:cs="宋体"/>
        </w:rPr>
        <w:t>偏离</w:t>
      </w:r>
      <w:r>
        <w:rPr>
          <w:rFonts w:cs="宋体"/>
        </w:rPr>
        <w:t>/</w:t>
      </w:r>
      <w:r>
        <w:rPr>
          <w:rFonts w:hint="eastAsia" w:cs="宋体"/>
        </w:rPr>
        <w:t>违背</w:t>
      </w:r>
      <w:r>
        <w:rPr>
          <w:rFonts w:hint="eastAsia" w:cs="宋体"/>
          <w:lang w:eastAsia="zh-CN"/>
        </w:rPr>
        <w:t>方案</w:t>
      </w:r>
      <w:r>
        <w:rPr>
          <w:rFonts w:hint="eastAsia" w:ascii="Times New Roman" w:hAnsi="Times New Roman" w:eastAsia="宋体" w:cs="宋体"/>
          <w:b w:val="0"/>
          <w:bCs w:val="0"/>
          <w:sz w:val="21"/>
          <w:szCs w:val="21"/>
        </w:rPr>
        <w:t>也需要定期报伦理，至少按半年一次的频率汇总上报，或遵循临床试验方案的规定</w:t>
      </w:r>
      <w:r>
        <w:rPr>
          <w:rFonts w:hint="eastAsia" w:ascii="Times New Roman" w:hAnsi="Times New Roman" w:cs="宋体"/>
          <w:b w:val="0"/>
          <w:bCs w:val="0"/>
          <w:sz w:val="21"/>
          <w:szCs w:val="21"/>
          <w:lang w:eastAsia="zh-CN"/>
        </w:rPr>
        <w:t>提高</w:t>
      </w:r>
      <w:r>
        <w:rPr>
          <w:rFonts w:hint="eastAsia" w:ascii="Times New Roman" w:hAnsi="Times New Roman" w:eastAsia="宋体" w:cs="宋体"/>
          <w:b w:val="0"/>
          <w:bCs w:val="0"/>
          <w:sz w:val="21"/>
          <w:szCs w:val="21"/>
        </w:rPr>
        <w:t>报告</w:t>
      </w:r>
      <w:r>
        <w:rPr>
          <w:rFonts w:hint="eastAsia" w:cs="宋体"/>
          <w:b w:val="0"/>
          <w:bCs w:val="0"/>
          <w:sz w:val="21"/>
          <w:szCs w:val="21"/>
          <w:lang w:eastAsia="zh-CN"/>
        </w:rPr>
        <w:t>频率</w:t>
      </w:r>
      <w:r>
        <w:rPr>
          <w:rFonts w:hint="eastAsia" w:ascii="Times New Roman" w:hAnsi="Times New Roman" w:eastAsia="宋体" w:cs="宋体"/>
          <w:b w:val="0"/>
          <w:bCs w:val="0"/>
          <w:sz w:val="21"/>
          <w:szCs w:val="21"/>
        </w:rPr>
        <w:t>。</w:t>
      </w:r>
    </w:p>
    <w:p w14:paraId="35D4673B">
      <w:pPr>
        <w:numPr>
          <w:ilvl w:val="1"/>
          <w:numId w:val="2"/>
        </w:numPr>
        <w:rPr>
          <w:rFonts w:cs="宋体"/>
        </w:rPr>
      </w:pPr>
      <w:r>
        <w:rPr>
          <w:rFonts w:hint="eastAsia" w:cs="宋体"/>
        </w:rPr>
        <w:t>其他安全性信息报告：研究期间发生</w:t>
      </w:r>
      <w:r>
        <w:rPr>
          <w:rFonts w:hint="eastAsia"/>
        </w:rPr>
        <w:t>除外</w:t>
      </w:r>
      <w:r>
        <w:rPr>
          <w:rFonts w:hint="eastAsia" w:cs="宋体"/>
        </w:rPr>
        <w:t>严重不良事件/特殊事件和可疑且非预期严重不良反应的其他安全性事件，应及时向</w:t>
      </w:r>
      <w:r>
        <w:rPr>
          <w:rFonts w:hint="eastAsia" w:cs="宋体"/>
          <w:kern w:val="0"/>
        </w:rPr>
        <w:t>伦理审查委员会提交其他安全性信息报告（</w:t>
      </w:r>
      <w:r>
        <w:rPr>
          <w:rFonts w:hint="eastAsia" w:ascii="宋体" w:hAnsi="宋体"/>
        </w:rPr>
        <w:t>包括研发期间安全性更新报告、定期安全性报告、器械缺陷报告、外中心定期汇总SUSAR等）。</w:t>
      </w:r>
    </w:p>
    <w:p w14:paraId="6196EAD4">
      <w:pPr>
        <w:numPr>
          <w:ilvl w:val="1"/>
          <w:numId w:val="2"/>
        </w:numPr>
      </w:pPr>
      <w:r>
        <w:rPr>
          <w:rFonts w:hint="eastAsia" w:cs="宋体"/>
        </w:rPr>
        <w:t>暂停</w:t>
      </w:r>
      <w:r>
        <w:t>/</w:t>
      </w:r>
      <w:r>
        <w:rPr>
          <w:rFonts w:hint="eastAsia" w:cs="宋体"/>
        </w:rPr>
        <w:t>终止研究报告：研究者</w:t>
      </w:r>
      <w:r>
        <w:t>/</w:t>
      </w:r>
      <w:r>
        <w:rPr>
          <w:rFonts w:hint="eastAsia" w:cs="宋体"/>
        </w:rPr>
        <w:t>申办者暂停或提前终止研究，</w:t>
      </w:r>
      <w:r>
        <w:rPr>
          <w:rFonts w:hint="eastAsia" w:cs="宋体"/>
          <w:kern w:val="0"/>
        </w:rPr>
        <w:t>应及时向伦理审查委员会提交</w:t>
      </w:r>
      <w:r>
        <w:rPr>
          <w:rFonts w:hint="eastAsia" w:cs="宋体"/>
        </w:rPr>
        <w:t>暂停</w:t>
      </w:r>
      <w:r>
        <w:t>/</w:t>
      </w:r>
      <w:r>
        <w:rPr>
          <w:rFonts w:hint="eastAsia" w:cs="宋体"/>
        </w:rPr>
        <w:t>终止研究报告。</w:t>
      </w:r>
    </w:p>
    <w:p w14:paraId="7090D4A7">
      <w:pPr>
        <w:numPr>
          <w:ilvl w:val="1"/>
          <w:numId w:val="2"/>
        </w:numPr>
      </w:pPr>
      <w:r>
        <w:rPr>
          <w:rFonts w:hint="eastAsia" w:cs="宋体"/>
        </w:rPr>
        <w:t>研究完成报告：完成</w:t>
      </w:r>
      <w:r>
        <w:rPr>
          <w:rFonts w:hint="eastAsia" w:cs="宋体"/>
          <w:kern w:val="0"/>
        </w:rPr>
        <w:t>研究，应及时向伦理审查委员会</w:t>
      </w:r>
      <w:r>
        <w:rPr>
          <w:rFonts w:hint="eastAsia" w:cs="宋体"/>
        </w:rPr>
        <w:t>提交研究完成报告。</w:t>
      </w:r>
    </w:p>
    <w:p w14:paraId="7717FE2C">
      <w:pPr>
        <w:ind w:left="420"/>
      </w:pPr>
      <w:r>
        <w:t xml:space="preserve">3. </w:t>
      </w:r>
      <w:r>
        <w:rPr>
          <w:rFonts w:hint="eastAsia" w:cs="宋体"/>
        </w:rPr>
        <w:t>复审</w:t>
      </w:r>
    </w:p>
    <w:p w14:paraId="23D83B34">
      <w:pPr>
        <w:numPr>
          <w:ilvl w:val="1"/>
          <w:numId w:val="2"/>
        </w:numPr>
      </w:pPr>
      <w:r>
        <w:rPr>
          <w:rFonts w:hint="eastAsia" w:cs="宋体"/>
        </w:rPr>
        <w:t>复审申请：如上述初始审查和跟踪审查意见</w:t>
      </w:r>
      <w:r>
        <w:rPr>
          <w:rFonts w:cs="宋体"/>
        </w:rPr>
        <w:t>为</w:t>
      </w:r>
      <w:r>
        <w:rPr>
          <w:rFonts w:hint="eastAsia" w:cs="宋体"/>
        </w:rPr>
        <w:t>“作必要的修正后同意”时，申请者按伦理审查意见进行修改后，应以“复审申请”的方式再次送审，经伦理审查委员会批准后方可实施；如果对伦理审查意见有不同的看法，可以“复审申请”的方式申诉不同意见，请伦理审查委员会重新考虑决定。</w:t>
      </w:r>
    </w:p>
    <w:p w14:paraId="5FE58CA3">
      <w:pPr>
        <w:pStyle w:val="2"/>
      </w:pPr>
      <w:bookmarkStart w:id="4" w:name="_Toc154583288"/>
      <w:r>
        <w:rPr>
          <w:rFonts w:hint="eastAsia" w:cs="黑体"/>
        </w:rPr>
        <w:t>三、提交伦理审查的流程</w:t>
      </w:r>
      <w:bookmarkEnd w:id="4"/>
    </w:p>
    <w:p w14:paraId="626347FA">
      <w:pPr>
        <w:ind w:firstLine="420" w:firstLineChars="200"/>
      </w:pPr>
      <w:r>
        <w:t xml:space="preserve">1. </w:t>
      </w:r>
      <w:r>
        <w:rPr>
          <w:rFonts w:hint="eastAsia" w:cs="宋体"/>
        </w:rPr>
        <w:t>提交送审文件</w:t>
      </w:r>
    </w:p>
    <w:p w14:paraId="580429E3">
      <w:pPr>
        <w:pStyle w:val="5"/>
        <w:numPr>
          <w:ilvl w:val="1"/>
          <w:numId w:val="1"/>
        </w:numPr>
        <w:ind w:firstLineChars="0"/>
      </w:pPr>
      <w:r>
        <w:rPr>
          <w:rFonts w:hint="eastAsia" w:cs="宋体"/>
        </w:rPr>
        <w:t>准备送审文件：根据</w:t>
      </w:r>
      <w:r>
        <w:t>AF/SQ</w:t>
      </w:r>
      <w:r>
        <w:rPr>
          <w:rFonts w:hint="eastAsia"/>
        </w:rPr>
        <w:t>/LS</w:t>
      </w:r>
      <w:r>
        <w:t>01</w:t>
      </w:r>
      <w:r>
        <w:rPr>
          <w:rFonts w:hint="eastAsia"/>
        </w:rPr>
        <w:t>-V07</w:t>
      </w:r>
      <w:r>
        <w:rPr>
          <w:rFonts w:hint="eastAsia"/>
          <w:lang w:val="en-US" w:eastAsia="zh-CN"/>
        </w:rPr>
        <w:t>.1</w:t>
      </w:r>
      <w:r>
        <w:rPr>
          <w:rFonts w:hint="eastAsia" w:cs="宋体"/>
        </w:rPr>
        <w:t>送审文件清单和AF/SQ/LS11-V0</w:t>
      </w:r>
      <w:r>
        <w:rPr>
          <w:rFonts w:cs="宋体"/>
        </w:rPr>
        <w:t>5</w:t>
      </w:r>
      <w:r>
        <w:rPr>
          <w:rFonts w:hint="eastAsia" w:cs="宋体"/>
        </w:rPr>
        <w:t>撰写要素，准备送审文件；所有需批准的文件均应注明版本号和版本日期。</w:t>
      </w:r>
    </w:p>
    <w:p w14:paraId="5AF38EF3">
      <w:pPr>
        <w:numPr>
          <w:ilvl w:val="0"/>
          <w:numId w:val="3"/>
        </w:numPr>
      </w:pPr>
      <w:r>
        <w:rPr>
          <w:rFonts w:hint="eastAsia"/>
        </w:rPr>
        <w:t>填写申请/报告的表格：根据伦理审查申请/报告的类别，填写相应的“申请”（AF/SQ/LS02-V07初始审查申请（临床试验用）、AF/SQ/LS12-V0</w:t>
      </w:r>
      <w:r>
        <w:t>5</w:t>
      </w:r>
      <w:r>
        <w:rPr>
          <w:rFonts w:hint="eastAsia"/>
        </w:rPr>
        <w:t>初始审查申请（科研项目用），AF/SQ/LS1</w:t>
      </w:r>
      <w:r>
        <w:t>6</w:t>
      </w:r>
      <w:r>
        <w:rPr>
          <w:rFonts w:hint="eastAsia"/>
        </w:rPr>
        <w:t>-V0</w:t>
      </w:r>
      <w:r>
        <w:t>2</w:t>
      </w:r>
      <w:r>
        <w:rPr>
          <w:rFonts w:hint="eastAsia"/>
        </w:rPr>
        <w:t>初始审查申请（体外诊断试剂临床试验用），AF/SQ/LS03-V07修正案审查申请，AF/SQ/LS09-V07复审申请），或“报告”（AF/SQ/LS04-V07研究进展报告，AF/SQ/LS05-V07严重不良事件/特殊事件报告，AF/SQ/LS06-V07偏离/违背方案报告，AF/SQ/LS07-V07暂停/终止研究报告，AF/SQ/LS08-V07研究完成报告，AF/SQ/LS1</w:t>
      </w:r>
      <w:r>
        <w:t>3</w:t>
      </w:r>
      <w:r>
        <w:rPr>
          <w:rFonts w:hint="eastAsia"/>
        </w:rPr>
        <w:t>-V0</w:t>
      </w:r>
      <w:r>
        <w:t>5</w:t>
      </w:r>
      <w:r>
        <w:rPr>
          <w:rFonts w:hint="eastAsia"/>
        </w:rPr>
        <w:t>可疑且非预期严重不良反应报告，</w:t>
      </w:r>
      <w:r>
        <w:rPr>
          <w:rStyle w:val="14"/>
          <w:rFonts w:cs="宋体"/>
          <w:color w:val="auto"/>
          <w:u w:val="none"/>
        </w:rPr>
        <w:t>AF/</w:t>
      </w:r>
      <w:r>
        <w:rPr>
          <w:rStyle w:val="14"/>
          <w:color w:val="auto"/>
          <w:u w:val="none"/>
        </w:rPr>
        <w:t>SQ</w:t>
      </w:r>
      <w:r>
        <w:rPr>
          <w:rStyle w:val="14"/>
          <w:rFonts w:cs="宋体"/>
          <w:color w:val="auto"/>
          <w:u w:val="none"/>
        </w:rPr>
        <w:t>/LS14-V03其他安全性信息报告</w:t>
      </w:r>
      <w:r>
        <w:rPr>
          <w:rFonts w:hint="eastAsia" w:cs="宋体"/>
        </w:rPr>
        <w:t>）。</w:t>
      </w:r>
    </w:p>
    <w:p w14:paraId="260129A6">
      <w:pPr>
        <w:pStyle w:val="5"/>
        <w:numPr>
          <w:ilvl w:val="1"/>
          <w:numId w:val="1"/>
        </w:numPr>
        <w:ind w:firstLineChars="0"/>
      </w:pPr>
      <w:r>
        <w:rPr>
          <w:rFonts w:hint="eastAsia" w:cs="宋体"/>
        </w:rPr>
        <w:t>提交：从伦理审查管理系统中提交项目初始审查材料，确保所有材料均经过主要研究者审阅电签。</w:t>
      </w:r>
    </w:p>
    <w:p w14:paraId="7D412C25">
      <w:pPr>
        <w:pStyle w:val="5"/>
        <w:ind w:left="442" w:firstLine="0" w:firstLineChars="0"/>
      </w:pPr>
      <w:r>
        <w:t xml:space="preserve">2. </w:t>
      </w:r>
      <w:r>
        <w:rPr>
          <w:rFonts w:hint="eastAsia" w:cs="宋体"/>
        </w:rPr>
        <w:t>领取通知</w:t>
      </w:r>
    </w:p>
    <w:p w14:paraId="534F557C">
      <w:pPr>
        <w:pStyle w:val="5"/>
        <w:numPr>
          <w:ilvl w:val="1"/>
          <w:numId w:val="1"/>
        </w:numPr>
        <w:ind w:firstLineChars="0"/>
      </w:pPr>
      <w:r>
        <w:rPr>
          <w:rFonts w:hint="eastAsia" w:cs="宋体"/>
        </w:rPr>
        <w:t>补充</w:t>
      </w:r>
      <w:r>
        <w:t>/</w:t>
      </w:r>
      <w:r>
        <w:rPr>
          <w:rFonts w:hint="eastAsia" w:cs="宋体"/>
        </w:rPr>
        <w:t>修改送审材料通知：伦理审查委员会秘书受理后，如果认为送审文件不完整，文件要素有缺陷，从伦理审查管理系统中发送</w:t>
      </w:r>
      <w:r>
        <w:t>AF/SL</w:t>
      </w:r>
      <w:r>
        <w:rPr>
          <w:rFonts w:hint="eastAsia"/>
        </w:rPr>
        <w:t>/LS</w:t>
      </w:r>
      <w:r>
        <w:t>01</w:t>
      </w:r>
      <w:r>
        <w:rPr>
          <w:rFonts w:hint="eastAsia"/>
        </w:rPr>
        <w:t>-V07</w:t>
      </w:r>
      <w:r>
        <w:rPr>
          <w:rFonts w:hint="eastAsia" w:cs="宋体"/>
        </w:rPr>
        <w:t>补充</w:t>
      </w:r>
      <w:r>
        <w:t>/</w:t>
      </w:r>
      <w:r>
        <w:rPr>
          <w:rFonts w:hint="eastAsia" w:cs="宋体"/>
        </w:rPr>
        <w:t>修改送审材料通知，告知缺项文件、缺陷的要素，以及送审截止日期。</w:t>
      </w:r>
    </w:p>
    <w:p w14:paraId="4A621F7E">
      <w:pPr>
        <w:pStyle w:val="5"/>
        <w:numPr>
          <w:ilvl w:val="1"/>
          <w:numId w:val="1"/>
        </w:numPr>
        <w:ind w:firstLineChars="0"/>
      </w:pPr>
      <w:r>
        <w:rPr>
          <w:rFonts w:hint="eastAsia" w:cs="宋体"/>
        </w:rPr>
        <w:t>受理通知：</w:t>
      </w:r>
      <w:r>
        <w:rPr>
          <w:rFonts w:hint="eastAsia" w:hAnsi="宋体" w:cs="宋体"/>
        </w:rPr>
        <w:t>送审文件的完整性和要素通过形式审查，办公室秘书</w:t>
      </w:r>
      <w:r>
        <w:rPr>
          <w:rFonts w:hint="eastAsia" w:cs="宋体"/>
        </w:rPr>
        <w:t>发送</w:t>
      </w:r>
      <w:r>
        <w:t>AF/SL</w:t>
      </w:r>
      <w:r>
        <w:rPr>
          <w:rFonts w:hint="eastAsia"/>
        </w:rPr>
        <w:t>/LS</w:t>
      </w:r>
      <w:r>
        <w:t>02</w:t>
      </w:r>
      <w:r>
        <w:rPr>
          <w:rFonts w:hint="eastAsia"/>
        </w:rPr>
        <w:t>-V07</w:t>
      </w:r>
      <w:r>
        <w:rPr>
          <w:rFonts w:hint="eastAsia" w:cs="宋体"/>
        </w:rPr>
        <w:t>受理通知，并告知预定审查日期。</w:t>
      </w:r>
    </w:p>
    <w:p w14:paraId="01B7033C">
      <w:pPr>
        <w:pStyle w:val="5"/>
        <w:ind w:left="442" w:firstLine="0" w:firstLineChars="0"/>
      </w:pPr>
      <w:r>
        <w:t xml:space="preserve">3. </w:t>
      </w:r>
      <w:r>
        <w:rPr>
          <w:rFonts w:hint="eastAsia" w:cs="宋体"/>
        </w:rPr>
        <w:t>接受审查的准备</w:t>
      </w:r>
    </w:p>
    <w:p w14:paraId="52507193">
      <w:pPr>
        <w:pStyle w:val="5"/>
        <w:numPr>
          <w:ilvl w:val="1"/>
          <w:numId w:val="1"/>
        </w:numPr>
        <w:ind w:firstLineChars="0"/>
      </w:pPr>
      <w:r>
        <w:rPr>
          <w:rFonts w:hint="eastAsia" w:cs="宋体"/>
        </w:rPr>
        <w:t>会议时间</w:t>
      </w:r>
      <w:r>
        <w:t>/</w:t>
      </w:r>
      <w:r>
        <w:rPr>
          <w:rFonts w:hint="eastAsia" w:cs="宋体"/>
        </w:rPr>
        <w:t>地点：办公室秘书通过电话</w:t>
      </w:r>
      <w:r>
        <w:t>/</w:t>
      </w:r>
      <w:r>
        <w:rPr>
          <w:rFonts w:hint="eastAsia"/>
        </w:rPr>
        <w:t>网站/</w:t>
      </w:r>
      <w:r>
        <w:rPr>
          <w:rFonts w:hint="eastAsia" w:cs="宋体"/>
        </w:rPr>
        <w:t>短信</w:t>
      </w:r>
      <w:r>
        <w:t>/</w:t>
      </w:r>
      <w:r>
        <w:rPr>
          <w:rFonts w:hint="eastAsia"/>
        </w:rPr>
        <w:t>微信</w:t>
      </w:r>
      <w:r>
        <w:rPr>
          <w:rFonts w:hint="eastAsia" w:cs="宋体"/>
        </w:rPr>
        <w:t>通知。</w:t>
      </w:r>
    </w:p>
    <w:p w14:paraId="161B5B08">
      <w:pPr>
        <w:pStyle w:val="5"/>
        <w:numPr>
          <w:ilvl w:val="1"/>
          <w:numId w:val="1"/>
        </w:numPr>
        <w:ind w:firstLineChars="0"/>
      </w:pPr>
      <w:r>
        <w:rPr>
          <w:rFonts w:hint="eastAsia" w:cs="宋体"/>
        </w:rPr>
        <w:t>准备向会议报告：按照通知，需要到会报告者，准备报告内容，提前</w:t>
      </w:r>
      <w:r>
        <w:t>10</w:t>
      </w:r>
      <w:r>
        <w:rPr>
          <w:rFonts w:hint="eastAsia" w:cs="宋体"/>
        </w:rPr>
        <w:t>分钟到达会场或进入网络会议等候室。</w:t>
      </w:r>
    </w:p>
    <w:p w14:paraId="10803E8F">
      <w:pPr>
        <w:pStyle w:val="5"/>
        <w:ind w:left="442" w:firstLine="0" w:firstLineChars="0"/>
        <w:rPr>
          <w:rFonts w:cs="宋体"/>
        </w:rPr>
      </w:pPr>
      <w:r>
        <w:rPr>
          <w:rFonts w:hint="eastAsia" w:cs="宋体"/>
        </w:rPr>
        <w:t>4. 审查结束后的注意事项</w:t>
      </w:r>
    </w:p>
    <w:p w14:paraId="5D34E72D">
      <w:pPr>
        <w:pStyle w:val="5"/>
        <w:numPr>
          <w:ilvl w:val="1"/>
          <w:numId w:val="1"/>
        </w:numPr>
        <w:ind w:firstLineChars="0"/>
      </w:pPr>
      <w:r>
        <w:rPr>
          <w:rFonts w:hint="eastAsia"/>
        </w:rPr>
        <w:t>如研究项目涉及人类遗传资源采集、收集、买卖、出口出境，请于获得中国人类遗传资源管理办公室的批准文件后将复印件递交伦理审查委员会办公室备案。</w:t>
      </w:r>
    </w:p>
    <w:p w14:paraId="09A49BAF">
      <w:pPr>
        <w:pStyle w:val="2"/>
      </w:pPr>
      <w:bookmarkStart w:id="5" w:name="_Toc154583289"/>
      <w:r>
        <w:rPr>
          <w:rFonts w:hint="eastAsia" w:cs="黑体"/>
        </w:rPr>
        <w:t>四、伦理审查的时间</w:t>
      </w:r>
      <w:bookmarkEnd w:id="5"/>
    </w:p>
    <w:p w14:paraId="0A7C3173">
      <w:pPr>
        <w:ind w:firstLine="420" w:firstLineChars="200"/>
      </w:pPr>
      <w:r>
        <w:rPr>
          <w:rFonts w:hint="eastAsia" w:cs="宋体"/>
        </w:rPr>
        <w:t>伦理审查委员会每月原则上15号前接受审查申请，下旬例行召开审查会议</w:t>
      </w:r>
      <w:r>
        <w:t>1</w:t>
      </w:r>
      <w:r>
        <w:rPr>
          <w:rFonts w:hint="eastAsia" w:cs="宋体"/>
        </w:rPr>
        <w:t>次，但必要时可以增加审查会议次数。伦理审查委员会办公室受理送审文件后，一般至少需要5个工作日的时间进行处理，原则上最晚接受审查申请的时间为会议审查日期前</w:t>
      </w:r>
      <w:r>
        <w:t>1</w:t>
      </w:r>
      <w:r>
        <w:rPr>
          <w:rFonts w:hint="eastAsia" w:cs="宋体"/>
        </w:rPr>
        <w:t>周。</w:t>
      </w:r>
    </w:p>
    <w:p w14:paraId="75D7235C">
      <w:pPr>
        <w:ind w:firstLine="420" w:firstLineChars="200"/>
      </w:pPr>
      <w:r>
        <w:rPr>
          <w:rFonts w:hint="eastAsia" w:hAnsi="宋体" w:cs="宋体"/>
        </w:rPr>
        <w:t>研究过程中出现重大或严重问题，危及研究对象安全</w:t>
      </w:r>
      <w:r>
        <w:rPr>
          <w:rFonts w:hint="eastAsia" w:cs="宋体"/>
        </w:rPr>
        <w:t>时，或发生</w:t>
      </w:r>
      <w:r>
        <w:rPr>
          <w:rFonts w:hint="eastAsia" w:hAnsi="宋体" w:cs="宋体"/>
        </w:rPr>
        <w:t>其它需要伦理审查委员会召开会议进行紧急审查和决定的情况，</w:t>
      </w:r>
      <w:r>
        <w:rPr>
          <w:rFonts w:hint="eastAsia" w:cs="宋体"/>
        </w:rPr>
        <w:t>伦理审查委员会将召开紧急会议进行审查。</w:t>
      </w:r>
    </w:p>
    <w:p w14:paraId="46CCB6C8">
      <w:pPr>
        <w:pStyle w:val="2"/>
      </w:pPr>
      <w:bookmarkStart w:id="6" w:name="_Toc154583290"/>
      <w:r>
        <w:rPr>
          <w:rFonts w:hint="eastAsia" w:cs="黑体"/>
        </w:rPr>
        <w:t>五、审查决定的传达</w:t>
      </w:r>
      <w:bookmarkEnd w:id="6"/>
    </w:p>
    <w:p w14:paraId="768BF76E">
      <w:pPr>
        <w:ind w:firstLine="420" w:firstLineChars="200"/>
        <w:rPr>
          <w:highlight w:val="yellow"/>
        </w:rPr>
      </w:pPr>
      <w:r>
        <w:rPr>
          <w:rFonts w:hint="eastAsia" w:cs="宋体"/>
        </w:rPr>
        <w:t>伦理审查委员会办公室在做出伦理审查决定后</w:t>
      </w:r>
      <w:r>
        <w:t>3</w:t>
      </w:r>
      <w:r>
        <w:rPr>
          <w:rFonts w:hint="eastAsia" w:cs="宋体"/>
        </w:rPr>
        <w:t>个工作日内，以“伦理审查批件”、“伦理审查意见（修正案审查专用）”或“伦理审查意见”的书面方式传达审查决定。</w:t>
      </w:r>
    </w:p>
    <w:p w14:paraId="021DCB68">
      <w:pPr>
        <w:ind w:firstLine="420" w:firstLineChars="200"/>
      </w:pPr>
      <w:r>
        <w:rPr>
          <w:rFonts w:hint="eastAsia" w:cs="宋体"/>
        </w:rPr>
        <w:t>如果审查意见为肯定性决定（同意继续研究，或不需要采取进一步的措施），</w:t>
      </w:r>
      <w:bookmarkStart w:id="7" w:name="OLE_LINK1"/>
      <w:r>
        <w:rPr>
          <w:rFonts w:hint="eastAsia" w:cs="宋体"/>
        </w:rPr>
        <w:t>并且审查类别属于（不涉及需要延长批件有效期的）年度</w:t>
      </w:r>
      <w:r>
        <w:t>/</w:t>
      </w:r>
      <w:r>
        <w:rPr>
          <w:rFonts w:hint="eastAsia" w:cs="宋体"/>
        </w:rPr>
        <w:t>定期跟踪审查，S</w:t>
      </w:r>
      <w:r>
        <w:rPr>
          <w:rFonts w:cs="宋体"/>
        </w:rPr>
        <w:t>USAR</w:t>
      </w:r>
      <w:r>
        <w:rPr>
          <w:rFonts w:hint="eastAsia" w:cs="宋体"/>
        </w:rPr>
        <w:t>审查，严重不良事件/特殊事件审查，偏离/违背方案审查，暂停</w:t>
      </w:r>
      <w:r>
        <w:t>/</w:t>
      </w:r>
      <w:r>
        <w:rPr>
          <w:rFonts w:hint="eastAsia" w:cs="宋体"/>
        </w:rPr>
        <w:t>终止研究</w:t>
      </w:r>
      <w:r>
        <w:rPr>
          <w:rFonts w:hint="eastAsia" w:hAnsi="宋体" w:cs="宋体"/>
        </w:rPr>
        <w:t>审查，</w:t>
      </w:r>
      <w:r>
        <w:rPr>
          <w:rFonts w:hint="eastAsia" w:cs="宋体"/>
        </w:rPr>
        <w:t>研究完成审查，以及上述审查类别审查后的复审</w:t>
      </w:r>
      <w:bookmarkEnd w:id="7"/>
      <w:r>
        <w:rPr>
          <w:rFonts w:hint="eastAsia" w:cs="宋体"/>
        </w:rPr>
        <w:t>，伦理审查委员会的决定可以不传达。申请人在伦理审查委员会受理送审材料后</w:t>
      </w:r>
      <w:r>
        <w:t>30</w:t>
      </w:r>
      <w:r>
        <w:rPr>
          <w:rFonts w:hint="eastAsia" w:cs="宋体"/>
        </w:rPr>
        <w:t>天内没有收到伦理审查委员会的审查意见，视作伦理审查意见为“同意”或“不需要采取进一步的措施”。</w:t>
      </w:r>
    </w:p>
    <w:p w14:paraId="675DEEC0">
      <w:pPr>
        <w:pStyle w:val="2"/>
      </w:pPr>
      <w:bookmarkStart w:id="8" w:name="_Toc154583291"/>
      <w:r>
        <w:rPr>
          <w:rFonts w:hint="eastAsia" w:cs="黑体"/>
        </w:rPr>
        <w:t>六、伦理审查的费用</w:t>
      </w:r>
      <w:bookmarkEnd w:id="8"/>
    </w:p>
    <w:p w14:paraId="561D8072">
      <w:pPr>
        <w:ind w:firstLine="420" w:firstLineChars="200"/>
      </w:pPr>
      <w:r>
        <w:rPr>
          <w:rFonts w:hint="eastAsia" w:cs="宋体"/>
        </w:rPr>
        <w:t>疫苗临床试验项目、体外诊断试剂临床试验项目合同以及科研课题经费的预算应包括伦理审查专家评审费用。</w:t>
      </w:r>
    </w:p>
    <w:p w14:paraId="57AE6F67">
      <w:pPr>
        <w:ind w:firstLine="420" w:firstLineChars="200"/>
      </w:pPr>
      <w:r>
        <w:rPr>
          <w:rFonts w:hint="eastAsia" w:cs="宋体"/>
        </w:rPr>
        <w:t>中心年度预算编制列入伦理审查费，用于列支小额科研课题的伦理审查费。</w:t>
      </w:r>
    </w:p>
    <w:p w14:paraId="4231D326">
      <w:pPr>
        <w:ind w:firstLine="420" w:firstLineChars="200"/>
        <w:rPr>
          <w:rFonts w:cs="宋体"/>
        </w:rPr>
      </w:pPr>
      <w:r>
        <w:rPr>
          <w:rFonts w:hint="eastAsia" w:cs="宋体"/>
        </w:rPr>
        <w:t>伦理审查委员会按每个研究项目收取伦理审查费用。疫苗临床试验项目（包括Ⅳ期临床试验项目及补充临床试验类项目等），按基本伦理审查费及追加伦理审查费分次收取，基本伦理审查费按20000元/项一次性收取，涵盖前五次申请类递交（初始审查、复审、修正案审查），从第6次申请类递交（修正案审查及其复审）起，申请类递交（修正案审查及其复审）按5000元/次分次收取追加伦理审查费。疫苗临床试验项目报告类别的伦理审查及实地访查、现场核查等审查工作不另行收费。体外诊断试剂临床试验项目，按5000元/项一次性收取。对于研究者发起的科研项目，项目经费10万元以下的不收费，10万元以上30万元以下按1000元/项一次性收费，项目经费30万元以上的按2000元/项一次性收费。以上收费标准均为含税金额。伦理审查费原则上应在提交伦理审查申请前一次性缴纳。审查费用于初始审查、跟踪审查、复审、实地访查、参与现场核查等审查工作。</w:t>
      </w:r>
    </w:p>
    <w:p w14:paraId="2485FAFE">
      <w:pPr>
        <w:pStyle w:val="2"/>
      </w:pPr>
      <w:bookmarkStart w:id="9" w:name="_Toc154583292"/>
      <w:r>
        <w:rPr>
          <w:rFonts w:hint="eastAsia" w:cs="黑体"/>
        </w:rPr>
        <w:t>七、免除审查</w:t>
      </w:r>
      <w:bookmarkEnd w:id="9"/>
    </w:p>
    <w:p w14:paraId="4E97D0D7">
      <w:pPr>
        <w:pStyle w:val="5"/>
        <w:ind w:firstLineChars="0"/>
      </w:pPr>
      <w:r>
        <w:rPr>
          <w:rFonts w:hint="eastAsia" w:cs="宋体"/>
        </w:rPr>
        <w:t>部分情形的涉及人的生命科学和医学研究可以免除伦理审查。主要包括：</w:t>
      </w:r>
    </w:p>
    <w:p w14:paraId="099949C8">
      <w:pPr>
        <w:pStyle w:val="5"/>
        <w:numPr>
          <w:ilvl w:val="1"/>
          <w:numId w:val="1"/>
        </w:numPr>
        <w:ind w:firstLineChars="0"/>
        <w:rPr>
          <w:rFonts w:cs="宋体"/>
        </w:rPr>
      </w:pPr>
      <w:r>
        <w:rPr>
          <w:rFonts w:hint="eastAsia" w:cs="宋体"/>
        </w:rPr>
        <w:t>利用合法获得的公开数据，或者通过观察且不干扰公共行为产生的数据进行研究的；</w:t>
      </w:r>
    </w:p>
    <w:p w14:paraId="18DEFDB1">
      <w:pPr>
        <w:pStyle w:val="5"/>
        <w:numPr>
          <w:ilvl w:val="1"/>
          <w:numId w:val="1"/>
        </w:numPr>
        <w:ind w:firstLineChars="0"/>
        <w:rPr>
          <w:rFonts w:cs="宋体"/>
        </w:rPr>
      </w:pPr>
      <w:r>
        <w:rPr>
          <w:rFonts w:hint="eastAsia" w:cs="宋体"/>
        </w:rPr>
        <w:t>使用匿名化的信息数据开展研究的；</w:t>
      </w:r>
    </w:p>
    <w:p w14:paraId="428EFD60">
      <w:pPr>
        <w:pStyle w:val="5"/>
        <w:numPr>
          <w:ilvl w:val="1"/>
          <w:numId w:val="1"/>
        </w:numPr>
        <w:ind w:firstLineChars="0"/>
        <w:rPr>
          <w:rFonts w:cs="宋体"/>
        </w:rPr>
      </w:pPr>
      <w:r>
        <w:rPr>
          <w:rFonts w:hint="eastAsia" w:cs="宋体"/>
        </w:rPr>
        <w:t>使用已有的人的生物样本开展研究，所使用的生物样本来源符合相关法规和伦理原则，研究相关内容和目的在规范的知情同意范围内，且不涉及使用人的生殖细胞、胚胎和生殖性克隆、嵌合、可遗传的基因操作等活动的；</w:t>
      </w:r>
    </w:p>
    <w:p w14:paraId="06B2D708">
      <w:pPr>
        <w:pStyle w:val="5"/>
        <w:numPr>
          <w:ilvl w:val="1"/>
          <w:numId w:val="1"/>
        </w:numPr>
        <w:ind w:firstLineChars="0"/>
      </w:pPr>
      <w:r>
        <w:rPr>
          <w:rFonts w:hint="eastAsia" w:cs="宋体"/>
        </w:rPr>
        <w:t>使用生物样本库来源的人源细胞株或者细胞系等开展研究，研究相关内容和目的在提供方授权范围内，且不涉及人胚胎和生殖性克隆、嵌合、可遗传的基因操作等活动的。</w:t>
      </w:r>
    </w:p>
    <w:p w14:paraId="0464F9E2">
      <w:pPr>
        <w:pStyle w:val="5"/>
        <w:tabs>
          <w:tab w:val="left" w:pos="862"/>
          <w:tab w:val="left" w:pos="1260"/>
        </w:tabs>
        <w:ind w:firstLineChars="0"/>
      </w:pPr>
      <w:r>
        <w:rPr>
          <w:rFonts w:hint="eastAsia" w:cs="宋体"/>
          <w:kern w:val="0"/>
        </w:rPr>
        <w:t>关于特殊受试人群免除审查的规定：</w:t>
      </w:r>
      <w:r>
        <w:rPr>
          <w:rFonts w:hint="eastAsia" w:cs="宋体"/>
        </w:rPr>
        <w:t>免除审查一般不适用于涉及孕妇、胎儿、新生儿、试管婴儿、精神障碍人员和服刑劳教人员的研究。</w:t>
      </w:r>
    </w:p>
    <w:p w14:paraId="168D1B15">
      <w:pPr>
        <w:pStyle w:val="2"/>
      </w:pPr>
      <w:bookmarkStart w:id="10" w:name="_Toc154583293"/>
      <w:r>
        <w:rPr>
          <w:rFonts w:hint="eastAsia" w:cs="黑体"/>
        </w:rPr>
        <w:t>八、免除知情同意</w:t>
      </w:r>
      <w:bookmarkEnd w:id="10"/>
    </w:p>
    <w:p w14:paraId="0712EA84">
      <w:pPr>
        <w:autoSpaceDE w:val="0"/>
        <w:autoSpaceDN w:val="0"/>
        <w:ind w:firstLine="420" w:firstLineChars="200"/>
      </w:pPr>
      <w:r>
        <w:rPr>
          <w:rFonts w:hint="eastAsia"/>
        </w:rPr>
        <w:t>以下情形经伦理委员会审查批准后，可以免除签署知情同意书：</w:t>
      </w:r>
    </w:p>
    <w:p w14:paraId="66571730">
      <w:pPr>
        <w:pStyle w:val="5"/>
        <w:numPr>
          <w:ilvl w:val="1"/>
          <w:numId w:val="1"/>
        </w:numPr>
        <w:ind w:firstLineChars="0"/>
      </w:pPr>
      <w:r>
        <w:rPr>
          <w:rFonts w:hint="eastAsia"/>
        </w:rPr>
        <w:t>利用可识别身份信息的人体材料或者数据进行研究，已无法找到该受试者，且研究项目不涉及个人隐私和商业利益的</w:t>
      </w:r>
      <w:r>
        <w:rPr>
          <w:rFonts w:hint="eastAsia" w:cs="宋体"/>
        </w:rPr>
        <w:t>；</w:t>
      </w:r>
    </w:p>
    <w:p w14:paraId="4A849C5D">
      <w:pPr>
        <w:pStyle w:val="5"/>
        <w:numPr>
          <w:ilvl w:val="1"/>
          <w:numId w:val="1"/>
        </w:numPr>
        <w:ind w:firstLineChars="0"/>
      </w:pPr>
      <w:r>
        <w:rPr>
          <w:rFonts w:hint="eastAsia"/>
        </w:rPr>
        <w:t>生物样本捐献者已经签署了知情同意书，同意所捐献样本及相关信息可用于所有医学研究的。</w:t>
      </w:r>
    </w:p>
    <w:p w14:paraId="01CD4076">
      <w:pPr>
        <w:pStyle w:val="2"/>
      </w:pPr>
      <w:bookmarkStart w:id="11" w:name="_Toc154583294"/>
      <w:r>
        <w:rPr>
          <w:rFonts w:hint="eastAsia" w:cs="黑体"/>
        </w:rPr>
        <w:t>九、免除知情同意书签字</w:t>
      </w:r>
      <w:bookmarkEnd w:id="11"/>
    </w:p>
    <w:p w14:paraId="00ACC8D6">
      <w:pPr>
        <w:ind w:firstLine="420" w:firstLineChars="200"/>
        <w:rPr>
          <w:rFonts w:ascii="TimesNewRoman" w:hAnsi="TimesNewRoman" w:cs="TimesNewRoman"/>
          <w:kern w:val="0"/>
        </w:rPr>
      </w:pPr>
      <w:r>
        <w:rPr>
          <w:rFonts w:hint="eastAsia" w:cs="宋体"/>
          <w:kern w:val="0"/>
        </w:rPr>
        <w:t>以下两种情况可以申请免除知情同意签字：</w:t>
      </w:r>
    </w:p>
    <w:p w14:paraId="28274B55">
      <w:pPr>
        <w:pStyle w:val="5"/>
        <w:numPr>
          <w:ilvl w:val="1"/>
          <w:numId w:val="1"/>
        </w:numPr>
        <w:ind w:firstLineChars="0"/>
      </w:pPr>
      <w:r>
        <w:rPr>
          <w:rFonts w:hint="eastAsia" w:cs="宋体"/>
        </w:rPr>
        <w:t>当一份签了字的知情同意书会对研究对象的隐私构成不正当的威胁，</w:t>
      </w:r>
      <w:r>
        <w:rPr>
          <w:rFonts w:hint="eastAsia" w:ascii="TimesNewRoman" w:hAnsi="TimesNewRoman" w:cs="宋体"/>
        </w:rPr>
        <w:t>联系研究对象真实身份和研究的唯一记录是知情同意文件，并且主要风险就来自于研究对象身份或个人隐私的泄露。在这种情况下，应该遵循每一位研究对象本人的意愿是否签署书面知情同意文件。</w:t>
      </w:r>
    </w:p>
    <w:p w14:paraId="449F741D">
      <w:pPr>
        <w:pStyle w:val="5"/>
        <w:numPr>
          <w:ilvl w:val="1"/>
          <w:numId w:val="1"/>
        </w:numPr>
        <w:ind w:firstLineChars="0"/>
      </w:pPr>
      <w:r>
        <w:rPr>
          <w:rFonts w:hint="eastAsia" w:cs="宋体"/>
        </w:rPr>
        <w:t>研究对</w:t>
      </w:r>
      <w:r>
        <w:rPr>
          <w:rFonts w:hint="eastAsia" w:ascii="TimesNewRoman" w:hAnsi="TimesNewRoman" w:cs="宋体"/>
        </w:rPr>
        <w:t>研究对象的风险不大于最小风险，并且如果脱离“研究”背景，相同情况下的行为或程序不要求签署书面知情同意。例如，</w:t>
      </w:r>
      <w:r>
        <w:rPr>
          <w:rFonts w:hint="eastAsia" w:cs="宋体"/>
        </w:rPr>
        <w:t>访谈研究，邮件</w:t>
      </w:r>
      <w:r>
        <w:t>/</w:t>
      </w:r>
      <w:r>
        <w:rPr>
          <w:rFonts w:hint="eastAsia" w:cs="宋体"/>
        </w:rPr>
        <w:t>电话调查</w:t>
      </w:r>
      <w:r>
        <w:rPr>
          <w:rFonts w:hint="eastAsia" w:ascii="TimesNewRoman" w:hAnsi="TimesNewRoman" w:cs="宋体"/>
        </w:rPr>
        <w:t>。</w:t>
      </w:r>
    </w:p>
    <w:p w14:paraId="2402EF24">
      <w:pPr>
        <w:ind w:firstLine="420" w:firstLineChars="200"/>
        <w:rPr>
          <w:rFonts w:ascii="TimesNewRoman" w:hAnsi="TimesNewRoman" w:cs="TimesNewRoman"/>
        </w:rPr>
      </w:pPr>
      <w:r>
        <w:rPr>
          <w:rFonts w:hint="eastAsia" w:cs="宋体"/>
        </w:rPr>
        <w:t>对于批准</w:t>
      </w:r>
      <w:r>
        <w:rPr>
          <w:rFonts w:hint="eastAsia" w:ascii="TimesNewRoman" w:hAnsi="TimesNewRoman" w:cs="宋体"/>
        </w:rPr>
        <w:t>免除签署书面知情同意文件的研究项目，伦理审查委员会可以要求研究者向研究对象提供书面告知信息。</w:t>
      </w:r>
    </w:p>
    <w:p w14:paraId="764BEF4B">
      <w:pPr>
        <w:pStyle w:val="2"/>
      </w:pPr>
      <w:bookmarkStart w:id="12" w:name="_Toc154583295"/>
      <w:r>
        <w:rPr>
          <w:rFonts w:hint="eastAsia" w:cs="黑体"/>
        </w:rPr>
        <w:t>十、联系方式</w:t>
      </w:r>
      <w:bookmarkEnd w:id="12"/>
    </w:p>
    <w:p w14:paraId="1BE2EF2C">
      <w:pPr>
        <w:ind w:firstLine="420" w:firstLineChars="200"/>
      </w:pPr>
      <w:r>
        <w:rPr>
          <w:rFonts w:hint="eastAsia" w:cs="宋体"/>
        </w:rPr>
        <w:t>伦理审查委员会办公室电话：</w:t>
      </w:r>
      <w:r>
        <w:t>025-83759406</w:t>
      </w:r>
    </w:p>
    <w:p w14:paraId="0FB88A7E">
      <w:pPr>
        <w:ind w:firstLine="420" w:firstLineChars="200"/>
      </w:pPr>
      <w:r>
        <w:rPr>
          <w:rFonts w:hint="eastAsia" w:cs="宋体"/>
        </w:rPr>
        <w:t>联系人：专职秘书</w:t>
      </w:r>
    </w:p>
    <w:p w14:paraId="2B47E872">
      <w:pPr>
        <w:ind w:firstLine="420" w:firstLineChars="200"/>
      </w:pPr>
      <w:r>
        <w:t>Email</w:t>
      </w:r>
      <w:r>
        <w:rPr>
          <w:rFonts w:hint="eastAsia" w:cs="宋体"/>
        </w:rPr>
        <w:t>：</w:t>
      </w:r>
      <w:r>
        <w:rPr>
          <w:rFonts w:hint="eastAsia"/>
        </w:rPr>
        <w:t>ec</w:t>
      </w:r>
      <w:r>
        <w:t>@jscdc.cn</w:t>
      </w:r>
    </w:p>
    <w:p w14:paraId="5961859F">
      <w:pPr>
        <w:pStyle w:val="2"/>
      </w:pPr>
      <w:bookmarkStart w:id="13" w:name="_Toc154583296"/>
      <w:r>
        <w:rPr>
          <w:rFonts w:hint="eastAsia"/>
        </w:rPr>
        <w:t>十一、附件</w:t>
      </w:r>
      <w:bookmarkEnd w:id="13"/>
    </w:p>
    <w:p w14:paraId="7F80346D">
      <w:pPr>
        <w:pStyle w:val="22"/>
      </w:pPr>
      <w:bookmarkStart w:id="14" w:name="_Toc154583297"/>
      <w:r>
        <w:t>附件1：AF/SQ/LS01-V0</w:t>
      </w:r>
      <w:r>
        <w:rPr>
          <w:rFonts w:hint="eastAsia"/>
        </w:rPr>
        <w:t>7</w:t>
      </w:r>
      <w:r>
        <w:rPr>
          <w:rFonts w:hint="eastAsia"/>
          <w:lang w:val="en-US" w:eastAsia="zh-CN"/>
        </w:rPr>
        <w:t>.1</w:t>
      </w:r>
      <w:r>
        <w:t>送审文件清单</w:t>
      </w:r>
      <w:bookmarkEnd w:id="14"/>
    </w:p>
    <w:p w14:paraId="029B84FF">
      <w:pPr>
        <w:pStyle w:val="22"/>
        <w:rPr>
          <w:rFonts w:cs="宋体"/>
        </w:rPr>
      </w:pPr>
      <w:bookmarkStart w:id="15" w:name="_Toc154583298"/>
      <w:r>
        <w:rPr>
          <w:rFonts w:hint="eastAsia" w:cs="宋体"/>
        </w:rPr>
        <w:t>附件2：</w:t>
      </w:r>
      <w:r>
        <w:rPr>
          <w:rFonts w:hint="eastAsia"/>
        </w:rPr>
        <w:t>AF</w:t>
      </w:r>
      <w:r>
        <w:rPr>
          <w:rFonts w:hint="eastAsia" w:cs="宋体"/>
        </w:rPr>
        <w:t>/SQ/</w:t>
      </w:r>
      <w:r>
        <w:rPr>
          <w:rFonts w:hint="eastAsia"/>
        </w:rPr>
        <w:t>LS02</w:t>
      </w:r>
      <w:r>
        <w:rPr>
          <w:rFonts w:hint="eastAsia" w:cs="宋体"/>
        </w:rPr>
        <w:t>-V07初始审查申请（临床试验用）</w:t>
      </w:r>
      <w:bookmarkEnd w:id="15"/>
    </w:p>
    <w:p w14:paraId="2B37CA80">
      <w:pPr>
        <w:pStyle w:val="22"/>
      </w:pPr>
      <w:bookmarkStart w:id="16" w:name="_Toc154583299"/>
      <w:r>
        <w:rPr>
          <w:rFonts w:hint="eastAsia"/>
        </w:rPr>
        <w:t>附件3：</w:t>
      </w:r>
      <w:r>
        <w:t>AF/SQ</w:t>
      </w:r>
      <w:r>
        <w:rPr>
          <w:rFonts w:hint="eastAsia"/>
        </w:rPr>
        <w:t>/LS</w:t>
      </w:r>
      <w:r>
        <w:t>03</w:t>
      </w:r>
      <w:r>
        <w:rPr>
          <w:rFonts w:hint="eastAsia"/>
        </w:rPr>
        <w:t>-V07</w:t>
      </w:r>
      <w:r>
        <w:rPr>
          <w:rFonts w:hint="eastAsia" w:cs="宋体"/>
        </w:rPr>
        <w:t>修正案审查申请</w:t>
      </w:r>
      <w:bookmarkEnd w:id="16"/>
    </w:p>
    <w:p w14:paraId="4A06E4F6">
      <w:pPr>
        <w:pStyle w:val="22"/>
      </w:pPr>
      <w:bookmarkStart w:id="17" w:name="_Toc154583300"/>
      <w:r>
        <w:rPr>
          <w:rFonts w:hint="eastAsia"/>
        </w:rPr>
        <w:t>附件4：</w:t>
      </w:r>
      <w:r>
        <w:t>AF/SQ</w:t>
      </w:r>
      <w:r>
        <w:rPr>
          <w:rFonts w:hint="eastAsia"/>
        </w:rPr>
        <w:t>/LS</w:t>
      </w:r>
      <w:r>
        <w:t>04</w:t>
      </w:r>
      <w:r>
        <w:rPr>
          <w:rFonts w:hint="eastAsia"/>
        </w:rPr>
        <w:t>-V07</w:t>
      </w:r>
      <w:r>
        <w:rPr>
          <w:rFonts w:hint="eastAsia" w:cs="宋体"/>
        </w:rPr>
        <w:t>研究进展报告</w:t>
      </w:r>
      <w:bookmarkEnd w:id="17"/>
    </w:p>
    <w:p w14:paraId="4B67EC61">
      <w:pPr>
        <w:pStyle w:val="22"/>
      </w:pPr>
      <w:bookmarkStart w:id="18" w:name="_Toc154583301"/>
      <w:r>
        <w:rPr>
          <w:rFonts w:hint="eastAsia"/>
        </w:rPr>
        <w:t>附件5：</w:t>
      </w:r>
      <w:r>
        <w:t>AF/SQ</w:t>
      </w:r>
      <w:r>
        <w:rPr>
          <w:rFonts w:hint="eastAsia"/>
        </w:rPr>
        <w:t>/LS</w:t>
      </w:r>
      <w:r>
        <w:t>05</w:t>
      </w:r>
      <w:r>
        <w:rPr>
          <w:rFonts w:hint="eastAsia"/>
        </w:rPr>
        <w:t>-V07严重</w:t>
      </w:r>
      <w:r>
        <w:rPr>
          <w:rFonts w:hint="eastAsia" w:cs="宋体"/>
        </w:rPr>
        <w:t>不良事件/特殊事件报告</w:t>
      </w:r>
      <w:bookmarkEnd w:id="18"/>
    </w:p>
    <w:p w14:paraId="517B5370">
      <w:pPr>
        <w:pStyle w:val="22"/>
      </w:pPr>
      <w:bookmarkStart w:id="19" w:name="_Toc154583302"/>
      <w:r>
        <w:rPr>
          <w:rFonts w:hint="eastAsia"/>
        </w:rPr>
        <w:t>附件6：</w:t>
      </w:r>
      <w:r>
        <w:t>AF/SQ</w:t>
      </w:r>
      <w:r>
        <w:rPr>
          <w:rFonts w:hint="eastAsia"/>
        </w:rPr>
        <w:t>/LS</w:t>
      </w:r>
      <w:r>
        <w:t>06</w:t>
      </w:r>
      <w:r>
        <w:rPr>
          <w:rFonts w:hint="eastAsia"/>
        </w:rPr>
        <w:t>-V07</w:t>
      </w:r>
      <w:r>
        <w:rPr>
          <w:rFonts w:hint="eastAsia" w:cs="宋体"/>
        </w:rPr>
        <w:t>偏离/违背方案报告</w:t>
      </w:r>
      <w:bookmarkEnd w:id="19"/>
    </w:p>
    <w:p w14:paraId="63C6A58D">
      <w:pPr>
        <w:pStyle w:val="22"/>
      </w:pPr>
      <w:bookmarkStart w:id="20" w:name="_Toc154583303"/>
      <w:r>
        <w:rPr>
          <w:rFonts w:hint="eastAsia"/>
        </w:rPr>
        <w:t>附件7：</w:t>
      </w:r>
      <w:r>
        <w:t>AF/SQ</w:t>
      </w:r>
      <w:r>
        <w:rPr>
          <w:rFonts w:hint="eastAsia"/>
        </w:rPr>
        <w:t>/LS</w:t>
      </w:r>
      <w:r>
        <w:t>07</w:t>
      </w:r>
      <w:r>
        <w:rPr>
          <w:rFonts w:hint="eastAsia"/>
        </w:rPr>
        <w:t>-V07</w:t>
      </w:r>
      <w:r>
        <w:rPr>
          <w:rFonts w:hint="eastAsia" w:cs="宋体"/>
        </w:rPr>
        <w:t>暂停</w:t>
      </w:r>
      <w:r>
        <w:t>/</w:t>
      </w:r>
      <w:r>
        <w:rPr>
          <w:rFonts w:hint="eastAsia" w:cs="宋体"/>
        </w:rPr>
        <w:t>终止研究报告</w:t>
      </w:r>
      <w:bookmarkEnd w:id="20"/>
    </w:p>
    <w:p w14:paraId="05262E31">
      <w:pPr>
        <w:pStyle w:val="22"/>
      </w:pPr>
      <w:bookmarkStart w:id="21" w:name="_Toc154583304"/>
      <w:r>
        <w:rPr>
          <w:rFonts w:hint="eastAsia"/>
        </w:rPr>
        <w:t>附件8：</w:t>
      </w:r>
      <w:r>
        <w:t>AF/SQ</w:t>
      </w:r>
      <w:r>
        <w:rPr>
          <w:rFonts w:hint="eastAsia"/>
        </w:rPr>
        <w:t>/LS</w:t>
      </w:r>
      <w:r>
        <w:t>08</w:t>
      </w:r>
      <w:r>
        <w:rPr>
          <w:rFonts w:hint="eastAsia"/>
        </w:rPr>
        <w:t>-V07</w:t>
      </w:r>
      <w:r>
        <w:rPr>
          <w:rFonts w:hint="eastAsia" w:cs="宋体"/>
        </w:rPr>
        <w:t>研究完成报告</w:t>
      </w:r>
      <w:bookmarkEnd w:id="21"/>
    </w:p>
    <w:p w14:paraId="3781E4D7">
      <w:pPr>
        <w:pStyle w:val="22"/>
      </w:pPr>
      <w:bookmarkStart w:id="22" w:name="_Toc154583305"/>
      <w:r>
        <w:rPr>
          <w:rFonts w:hint="eastAsia"/>
        </w:rPr>
        <w:t>附件9：</w:t>
      </w:r>
      <w:r>
        <w:t>AF/SQ</w:t>
      </w:r>
      <w:r>
        <w:rPr>
          <w:rFonts w:hint="eastAsia"/>
        </w:rPr>
        <w:t>/LS</w:t>
      </w:r>
      <w:r>
        <w:t>09</w:t>
      </w:r>
      <w:r>
        <w:rPr>
          <w:rFonts w:hint="eastAsia"/>
        </w:rPr>
        <w:t>-V07</w:t>
      </w:r>
      <w:r>
        <w:rPr>
          <w:rFonts w:hint="eastAsia" w:cs="宋体"/>
        </w:rPr>
        <w:t>复审申请</w:t>
      </w:r>
      <w:bookmarkEnd w:id="22"/>
    </w:p>
    <w:p w14:paraId="4E8EA42E">
      <w:pPr>
        <w:pStyle w:val="22"/>
      </w:pPr>
      <w:bookmarkStart w:id="23" w:name="_Toc154583306"/>
      <w:r>
        <w:rPr>
          <w:rFonts w:hint="eastAsia"/>
        </w:rPr>
        <w:t>附件1</w:t>
      </w:r>
      <w:r>
        <w:t>0</w:t>
      </w:r>
      <w:r>
        <w:rPr>
          <w:rFonts w:hint="eastAsia"/>
        </w:rPr>
        <w:t>：</w:t>
      </w:r>
      <w:r>
        <w:t>AF/SQ</w:t>
      </w:r>
      <w:r>
        <w:rPr>
          <w:rFonts w:hint="eastAsia"/>
        </w:rPr>
        <w:t>/LS</w:t>
      </w:r>
      <w:r>
        <w:t>10</w:t>
      </w:r>
      <w:r>
        <w:rPr>
          <w:rFonts w:hint="eastAsia"/>
        </w:rPr>
        <w:t>-V07</w:t>
      </w:r>
      <w:r>
        <w:rPr>
          <w:rFonts w:hint="eastAsia" w:cs="宋体"/>
        </w:rPr>
        <w:t>免疫程序对照说明表</w:t>
      </w:r>
      <w:bookmarkEnd w:id="23"/>
    </w:p>
    <w:p w14:paraId="5A1FE235">
      <w:pPr>
        <w:pStyle w:val="22"/>
      </w:pPr>
      <w:bookmarkStart w:id="24" w:name="_Toc154583307"/>
      <w:r>
        <w:rPr>
          <w:rFonts w:hint="eastAsia"/>
        </w:rPr>
        <w:t>附件1</w:t>
      </w:r>
      <w:r>
        <w:t>1</w:t>
      </w:r>
      <w:r>
        <w:rPr>
          <w:rFonts w:hint="eastAsia"/>
        </w:rPr>
        <w:t>：</w:t>
      </w:r>
      <w:r>
        <w:t>AF/SQ/</w:t>
      </w:r>
      <w:r>
        <w:rPr>
          <w:szCs w:val="24"/>
        </w:rPr>
        <w:t>LS</w:t>
      </w:r>
      <w:r>
        <w:rPr>
          <w:rFonts w:hint="eastAsia"/>
        </w:rPr>
        <w:t>11</w:t>
      </w:r>
      <w:r>
        <w:rPr>
          <w:szCs w:val="24"/>
        </w:rPr>
        <w:t>-V05</w:t>
      </w:r>
      <w:r>
        <w:rPr>
          <w:rFonts w:hint="eastAsia" w:cs="宋体"/>
        </w:rPr>
        <w:t>撰写要素</w:t>
      </w:r>
      <w:bookmarkEnd w:id="24"/>
    </w:p>
    <w:p w14:paraId="3D45C0A1">
      <w:pPr>
        <w:pStyle w:val="22"/>
      </w:pPr>
      <w:bookmarkStart w:id="25" w:name="_Toc154583308"/>
      <w:r>
        <w:rPr>
          <w:rFonts w:hint="eastAsia" w:cs="宋体"/>
        </w:rPr>
        <w:t>附件</w:t>
      </w:r>
      <w:r>
        <w:rPr>
          <w:rFonts w:hint="eastAsia"/>
        </w:rPr>
        <w:t>1</w:t>
      </w:r>
      <w:r>
        <w:t>2</w:t>
      </w:r>
      <w:r>
        <w:rPr>
          <w:rFonts w:hint="eastAsia" w:cs="宋体"/>
        </w:rPr>
        <w:t>：AF/</w:t>
      </w:r>
      <w:r>
        <w:rPr>
          <w:rFonts w:hint="eastAsia"/>
        </w:rPr>
        <w:t>SQ</w:t>
      </w:r>
      <w:r>
        <w:rPr>
          <w:rFonts w:hint="eastAsia" w:cs="宋体"/>
        </w:rPr>
        <w:t>/LS12-V0</w:t>
      </w:r>
      <w:r>
        <w:rPr>
          <w:rFonts w:cs="宋体"/>
        </w:rPr>
        <w:t>5</w:t>
      </w:r>
      <w:r>
        <w:rPr>
          <w:rFonts w:hint="eastAsia" w:cs="宋体"/>
        </w:rPr>
        <w:t>初始审查申请（科研项目用）</w:t>
      </w:r>
      <w:bookmarkEnd w:id="25"/>
    </w:p>
    <w:p w14:paraId="2BB473AF">
      <w:pPr>
        <w:pStyle w:val="22"/>
        <w:rPr>
          <w:rFonts w:cs="宋体"/>
        </w:rPr>
      </w:pPr>
      <w:bookmarkStart w:id="26" w:name="_Toc154583309"/>
      <w:r>
        <w:rPr>
          <w:rFonts w:hint="eastAsia" w:cs="宋体"/>
        </w:rPr>
        <w:t>附件1</w:t>
      </w:r>
      <w:r>
        <w:rPr>
          <w:rFonts w:cs="宋体"/>
        </w:rPr>
        <w:t>3</w:t>
      </w:r>
      <w:r>
        <w:rPr>
          <w:rFonts w:hint="eastAsia" w:cs="宋体"/>
        </w:rPr>
        <w:t>：AF/</w:t>
      </w:r>
      <w:r>
        <w:rPr>
          <w:rFonts w:hint="eastAsia"/>
        </w:rPr>
        <w:t>SQ</w:t>
      </w:r>
      <w:r>
        <w:rPr>
          <w:rFonts w:hint="eastAsia" w:cs="宋体"/>
        </w:rPr>
        <w:t>/LS1</w:t>
      </w:r>
      <w:r>
        <w:rPr>
          <w:rFonts w:cs="宋体"/>
        </w:rPr>
        <w:t>3</w:t>
      </w:r>
      <w:r>
        <w:rPr>
          <w:rFonts w:hint="eastAsia" w:cs="宋体"/>
        </w:rPr>
        <w:t>-V0</w:t>
      </w:r>
      <w:r>
        <w:rPr>
          <w:rFonts w:cs="宋体"/>
        </w:rPr>
        <w:t>5</w:t>
      </w:r>
      <w:r>
        <w:rPr>
          <w:rFonts w:hint="eastAsia" w:cs="宋体"/>
        </w:rPr>
        <w:t>可疑且非预期严重不良反应报告</w:t>
      </w:r>
      <w:bookmarkEnd w:id="26"/>
    </w:p>
    <w:p w14:paraId="055460DB">
      <w:pPr>
        <w:pStyle w:val="22"/>
        <w:rPr>
          <w:rFonts w:cs="宋体"/>
        </w:rPr>
      </w:pPr>
      <w:bookmarkStart w:id="27" w:name="_Toc154583310"/>
      <w:r>
        <w:rPr>
          <w:rFonts w:hint="eastAsia" w:cs="宋体"/>
        </w:rPr>
        <w:t>附件1</w:t>
      </w:r>
      <w:r>
        <w:rPr>
          <w:rFonts w:cs="宋体"/>
        </w:rPr>
        <w:t>4</w:t>
      </w:r>
      <w:r>
        <w:rPr>
          <w:rFonts w:hint="eastAsia" w:cs="宋体"/>
        </w:rPr>
        <w:t>：AF/</w:t>
      </w:r>
      <w:r>
        <w:rPr>
          <w:rFonts w:hint="eastAsia"/>
        </w:rPr>
        <w:t>SQ</w:t>
      </w:r>
      <w:r>
        <w:rPr>
          <w:rFonts w:hint="eastAsia" w:cs="宋体"/>
        </w:rPr>
        <w:t>/LS1</w:t>
      </w:r>
      <w:r>
        <w:rPr>
          <w:rFonts w:cs="宋体"/>
        </w:rPr>
        <w:t>4</w:t>
      </w:r>
      <w:r>
        <w:rPr>
          <w:rFonts w:hint="eastAsia" w:cs="宋体"/>
        </w:rPr>
        <w:t>-V0</w:t>
      </w:r>
      <w:r>
        <w:rPr>
          <w:rFonts w:cs="宋体"/>
        </w:rPr>
        <w:t>3</w:t>
      </w:r>
      <w:r>
        <w:rPr>
          <w:rFonts w:hint="eastAsia" w:cs="宋体"/>
        </w:rPr>
        <w:t>其他安全性信息报告</w:t>
      </w:r>
      <w:bookmarkEnd w:id="27"/>
    </w:p>
    <w:p w14:paraId="650666CF">
      <w:pPr>
        <w:pStyle w:val="22"/>
        <w:rPr>
          <w:rFonts w:cs="宋体"/>
        </w:rPr>
      </w:pPr>
      <w:bookmarkStart w:id="28" w:name="_Toc154583311"/>
      <w:r>
        <w:rPr>
          <w:rFonts w:hint="eastAsia" w:cs="宋体"/>
        </w:rPr>
        <w:t>附件1</w:t>
      </w:r>
      <w:r>
        <w:rPr>
          <w:rFonts w:cs="宋体"/>
        </w:rPr>
        <w:t>5</w:t>
      </w:r>
      <w:r>
        <w:rPr>
          <w:rFonts w:hint="eastAsia" w:cs="宋体"/>
        </w:rPr>
        <w:t>：AF/</w:t>
      </w:r>
      <w:r>
        <w:rPr>
          <w:rFonts w:hint="eastAsia"/>
        </w:rPr>
        <w:t>SQ</w:t>
      </w:r>
      <w:r>
        <w:rPr>
          <w:rFonts w:hint="eastAsia" w:cs="宋体"/>
        </w:rPr>
        <w:t>/LS1</w:t>
      </w:r>
      <w:r>
        <w:rPr>
          <w:rFonts w:cs="宋体"/>
        </w:rPr>
        <w:t>5</w:t>
      </w:r>
      <w:r>
        <w:rPr>
          <w:rFonts w:hint="eastAsia" w:cs="宋体"/>
        </w:rPr>
        <w:t>-V0</w:t>
      </w:r>
      <w:r>
        <w:rPr>
          <w:rFonts w:cs="宋体"/>
        </w:rPr>
        <w:t>3</w:t>
      </w:r>
      <w:r>
        <w:rPr>
          <w:rFonts w:hint="eastAsia" w:cs="宋体"/>
        </w:rPr>
        <w:t>免除伦理审查申请</w:t>
      </w:r>
      <w:bookmarkEnd w:id="28"/>
    </w:p>
    <w:p w14:paraId="360B05F4">
      <w:pPr>
        <w:pStyle w:val="22"/>
      </w:pPr>
      <w:bookmarkStart w:id="29" w:name="_Toc154583312"/>
      <w:r>
        <w:rPr>
          <w:rFonts w:hint="eastAsia" w:cs="宋体"/>
        </w:rPr>
        <w:t>附件</w:t>
      </w:r>
      <w:r>
        <w:rPr>
          <w:rFonts w:hint="eastAsia"/>
        </w:rPr>
        <w:t>1</w:t>
      </w:r>
      <w:r>
        <w:t>6</w:t>
      </w:r>
      <w:r>
        <w:rPr>
          <w:rFonts w:hint="eastAsia" w:cs="宋体"/>
        </w:rPr>
        <w:t>：AF/</w:t>
      </w:r>
      <w:r>
        <w:rPr>
          <w:rFonts w:hint="eastAsia"/>
        </w:rPr>
        <w:t>SQ</w:t>
      </w:r>
      <w:r>
        <w:rPr>
          <w:rFonts w:hint="eastAsia" w:cs="宋体"/>
        </w:rPr>
        <w:t>/LS1</w:t>
      </w:r>
      <w:r>
        <w:rPr>
          <w:rFonts w:cs="宋体"/>
        </w:rPr>
        <w:t>6</w:t>
      </w:r>
      <w:r>
        <w:rPr>
          <w:rFonts w:hint="eastAsia" w:cs="宋体"/>
        </w:rPr>
        <w:t>-V0</w:t>
      </w:r>
      <w:r>
        <w:rPr>
          <w:rFonts w:cs="宋体"/>
        </w:rPr>
        <w:t>2</w:t>
      </w:r>
      <w:r>
        <w:rPr>
          <w:rFonts w:hint="eastAsia" w:cs="宋体"/>
        </w:rPr>
        <w:t>初始审查申请（体外诊断试剂临床试验用）</w:t>
      </w:r>
      <w:bookmarkEnd w:id="29"/>
    </w:p>
    <w:p w14:paraId="2BA35FFF">
      <w:pPr>
        <w:pStyle w:val="22"/>
      </w:pPr>
      <w:bookmarkStart w:id="30" w:name="_Toc154583313"/>
      <w:bookmarkStart w:id="31" w:name="_Toc111134975"/>
      <w:r>
        <w:rPr>
          <w:rFonts w:hint="eastAsia"/>
        </w:rPr>
        <w:t>附件1</w:t>
      </w:r>
      <w:r>
        <w:t>7</w:t>
      </w:r>
      <w:r>
        <w:rPr>
          <w:rFonts w:hint="eastAsia"/>
        </w:rPr>
        <w:t>：</w:t>
      </w:r>
      <w:r>
        <w:t>AF/SL</w:t>
      </w:r>
      <w:r>
        <w:rPr>
          <w:rFonts w:hint="eastAsia"/>
        </w:rPr>
        <w:t>/LS</w:t>
      </w:r>
      <w:r>
        <w:t>01</w:t>
      </w:r>
      <w:r>
        <w:rPr>
          <w:rFonts w:hint="eastAsia"/>
        </w:rPr>
        <w:t>-V07</w:t>
      </w:r>
      <w:r>
        <w:rPr>
          <w:rFonts w:hint="eastAsia" w:cs="宋体"/>
        </w:rPr>
        <w:t>补充</w:t>
      </w:r>
      <w:r>
        <w:t>/</w:t>
      </w:r>
      <w:r>
        <w:rPr>
          <w:rFonts w:hint="eastAsia" w:cs="宋体"/>
        </w:rPr>
        <w:t>修改送审材料通知</w:t>
      </w:r>
      <w:bookmarkEnd w:id="30"/>
      <w:bookmarkEnd w:id="31"/>
    </w:p>
    <w:p w14:paraId="1438BCB3">
      <w:pPr>
        <w:pStyle w:val="22"/>
      </w:pPr>
      <w:bookmarkStart w:id="32" w:name="_Toc154583314"/>
      <w:bookmarkStart w:id="33" w:name="_Toc111134976"/>
      <w:r>
        <w:rPr>
          <w:rFonts w:hint="eastAsia"/>
        </w:rPr>
        <w:t>附件1</w:t>
      </w:r>
      <w:r>
        <w:t>8</w:t>
      </w:r>
      <w:r>
        <w:rPr>
          <w:rFonts w:hint="eastAsia"/>
        </w:rPr>
        <w:t>：</w:t>
      </w:r>
      <w:r>
        <w:t>AF/SL</w:t>
      </w:r>
      <w:r>
        <w:rPr>
          <w:rFonts w:hint="eastAsia"/>
        </w:rPr>
        <w:t>/LS</w:t>
      </w:r>
      <w:r>
        <w:t>02</w:t>
      </w:r>
      <w:r>
        <w:rPr>
          <w:rFonts w:hint="eastAsia"/>
        </w:rPr>
        <w:t>-V07</w:t>
      </w:r>
      <w:r>
        <w:rPr>
          <w:rFonts w:hint="eastAsia" w:cs="宋体"/>
        </w:rPr>
        <w:t>受理通知</w:t>
      </w:r>
      <w:bookmarkEnd w:id="32"/>
      <w:bookmarkEnd w:id="33"/>
    </w:p>
    <w:p w14:paraId="283EDC64">
      <w:pPr>
        <w:pStyle w:val="22"/>
      </w:pPr>
      <w:bookmarkStart w:id="34" w:name="_Toc111134977"/>
      <w:bookmarkStart w:id="35" w:name="_Toc154583315"/>
      <w:r>
        <w:rPr>
          <w:rFonts w:hint="eastAsia"/>
        </w:rPr>
        <w:t>附件1</w:t>
      </w:r>
      <w:r>
        <w:t>9</w:t>
      </w:r>
      <w:r>
        <w:rPr>
          <w:rFonts w:hint="eastAsia"/>
        </w:rPr>
        <w:t>：</w:t>
      </w:r>
      <w:r>
        <w:t>AF/SL</w:t>
      </w:r>
      <w:r>
        <w:rPr>
          <w:rFonts w:hint="eastAsia"/>
        </w:rPr>
        <w:t>/LS</w:t>
      </w:r>
      <w:r>
        <w:t>03</w:t>
      </w:r>
      <w:r>
        <w:rPr>
          <w:rFonts w:hint="eastAsia"/>
        </w:rPr>
        <w:t>-V07</w:t>
      </w:r>
      <w:r>
        <w:rPr>
          <w:rFonts w:hint="eastAsia" w:cs="宋体"/>
        </w:rPr>
        <w:t>主要研究者简历</w:t>
      </w:r>
      <w:bookmarkEnd w:id="34"/>
      <w:bookmarkEnd w:id="35"/>
    </w:p>
    <w:p w14:paraId="31AD270B">
      <w:pPr>
        <w:ind w:left="420"/>
      </w:pPr>
    </w:p>
    <w:p w14:paraId="14ED6B5E"/>
    <w:sectPr>
      <w:footerReference r:id="rId9" w:type="first"/>
      <w:footerReference r:id="rId8" w:type="default"/>
      <w:pgSz w:w="11906" w:h="16838"/>
      <w:pgMar w:top="1440" w:right="1797" w:bottom="1440" w:left="1797" w:header="851" w:footer="992" w:gutter="0"/>
      <w:pgNumType w:start="1"/>
      <w:cols w:space="720" w:num="1"/>
      <w:docGrid w:type="linesAndChars" w:linePitch="34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panose1 w:val="02010800040101010101"/>
    <w:charset w:val="86"/>
    <w:family w:val="auto"/>
    <w:pitch w:val="default"/>
    <w:sig w:usb0="00000001" w:usb1="080F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cajcd fnta0">
    <w:altName w:val="Times New Roman"/>
    <w:panose1 w:val="00000000000000000000"/>
    <w:charset w:val="00"/>
    <w:family w:val="auto"/>
    <w:pitch w:val="default"/>
    <w:sig w:usb0="00000000" w:usb1="00000000" w:usb2="00000000" w:usb3="00000000" w:csb0="00000001" w:csb1="00000000"/>
  </w:font>
  <w:font w:name="TimesNewRoman">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DD9D5">
    <w:pPr>
      <w:pStyle w:val="7"/>
      <w:jc w:val="center"/>
    </w:pPr>
    <w:r>
      <w:pict>
        <v:shape id="文本框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qn/HygMCAAADBAAADgAAAAAAAAABACAAAAAeAQAAZHJzL2Uyb0Rv&#10;Yy54bWxQSwUGAAAAAAYABgBZAQAAkwUAAAAA&#10;">
          <v:path/>
          <v:fill on="f" focussize="0,0"/>
          <v:stroke on="f" joinstyle="miter"/>
          <v:imagedata o:title=""/>
          <o:lock v:ext="edit"/>
          <v:textbox inset="0mm,0mm,0mm,0mm" style="mso-fit-shape-to-text:t;">
            <w:txbxContent>
              <w:p w14:paraId="150439F3">
                <w:pPr>
                  <w:jc w:val="center"/>
                </w:pPr>
              </w:p>
            </w:txbxContent>
          </v:textbox>
        </v:shape>
      </w:pict>
    </w:r>
    <w:r>
      <w:pict>
        <v:shape id="文本框6"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l5uc8AAAAFAQAADwAAAAAAAAABACAAAAAiAAAAZHJzL2Rvd25yZXYu&#10;eG1sUEsBAhQAFAAAAAgAh07iQLEl4XoEAgAAAwQAAA4AAAAAAAAAAQAgAAAAHgEAAGRycy9lMm9E&#10;b2MueG1sUEsFBgAAAAAGAAYAWQEAAJQFAAAAAA==&#10;">
          <v:path/>
          <v:fill on="f" focussize="0,0"/>
          <v:stroke on="f" joinstyle="miter"/>
          <v:imagedata o:title=""/>
          <o:lock v:ext="edit"/>
          <v:textbox inset="0mm,0mm,0mm,0mm" style="mso-fit-shape-to-text:t;">
            <w:txbxContent>
              <w:p w14:paraId="10EECEF0">
                <w:pPr>
                  <w:jc w:val="center"/>
                </w:pPr>
              </w:p>
            </w:txbxContent>
          </v:textbox>
        </v:shape>
      </w:pict>
    </w:r>
    <w:r>
      <w:pict>
        <v:shape id="文本框4" o:spid="_x0000_s102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ql5uc8AAAAFAQAADwAAAAAAAAABACAAAAAiAAAAZHJzL2Rvd25yZXYu&#10;eG1sUEsBAhQAFAAAAAgAh07iQN7RfEAEAgAAAwQAAA4AAAAAAAAAAQAgAAAAHgEAAGRycy9lMm9E&#10;b2MueG1sUEsFBgAAAAAGAAYAWQEAAJQFAAAAAA==&#10;">
          <v:path/>
          <v:fill on="f" focussize="0,0"/>
          <v:stroke on="f" joinstyle="miter"/>
          <v:imagedata o:title=""/>
          <o:lock v:ext="edit"/>
          <v:textbox inset="0mm,0mm,0mm,0mm" style="mso-fit-shape-to-text:t;">
            <w:txbxContent>
              <w:p w14:paraId="270F04F6">
                <w:pPr>
                  <w:jc w:val="cente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474333">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D435C3">
    <w:pPr>
      <w:pStyle w:val="7"/>
      <w:jc w:val="center"/>
    </w:pPr>
    <w:r>
      <w:rPr>
        <w:rFonts w:hint="eastAsia"/>
      </w:rPr>
      <w:t>第</w:t>
    </w:r>
    <w:r>
      <w:fldChar w:fldCharType="begin"/>
    </w:r>
    <w:r>
      <w:rPr>
        <w:rFonts w:hint="eastAsia"/>
      </w:rPr>
      <w:instrText xml:space="preserve">PAGE  \* Arabic  \* MERGEFORMAT</w:instrText>
    </w:r>
    <w:r>
      <w:fldChar w:fldCharType="separate"/>
    </w:r>
    <w:r>
      <w:t>3</w:t>
    </w:r>
    <w:r>
      <w:fldChar w:fldCharType="end"/>
    </w:r>
    <w:r>
      <w:rPr>
        <w:rFonts w:hint="eastAsia"/>
      </w:rPr>
      <w:t>页共6页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D344A">
    <w:pPr>
      <w:pStyle w:val="7"/>
    </w:pPr>
    <w:r>
      <w:pict>
        <v:shape id="文本框9" o:spid="_x0000_s1027"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SWH2nQMCAAADBAAADgAAAAAAAAABACAAAAAeAQAAZHJzL2Uyb0Rv&#10;Yy54bWxQSwUGAAAAAAYABgBZAQAAkwUAAAAA&#10;">
          <v:path/>
          <v:fill on="f" focussize="0,0"/>
          <v:stroke on="f" joinstyle="miter"/>
          <v:imagedata o:title=""/>
          <o:lock v:ext="edit"/>
          <v:textbox inset="0mm,0mm,0mm,0mm" style="mso-fit-shape-to-text:t;">
            <w:txbxContent>
              <w:p w14:paraId="1CAE9F8B">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r>
                  <w:rPr>
                    <w:rFonts w:hint="eastAsia"/>
                    <w:sz w:val="18"/>
                  </w:rPr>
                  <w:t xml:space="preserve"> 页 共 </w:t>
                </w:r>
                <w:r>
                  <w:fldChar w:fldCharType="begin"/>
                </w:r>
                <w:r>
                  <w:instrText xml:space="preserve"> NUMPAGES  \* MERGEFORMAT </w:instrText>
                </w:r>
                <w:r>
                  <w:fldChar w:fldCharType="separate"/>
                </w:r>
                <w:r>
                  <w:rPr>
                    <w:sz w:val="18"/>
                  </w:rPr>
                  <w:t>7</w:t>
                </w:r>
                <w:r>
                  <w:rPr>
                    <w:sz w:val="18"/>
                  </w:rPr>
                  <w:fldChar w:fldCharType="end"/>
                </w:r>
                <w:r>
                  <w:rPr>
                    <w:rFonts w:hint="eastAsia"/>
                    <w:sz w:val="18"/>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8069E">
    <w:pPr>
      <w:pStyle w:val="8"/>
      <w:pBdr>
        <w:bottom w:val="single" w:color="auto" w:sz="4" w:space="1"/>
      </w:pBdr>
      <w:ind w:firstLine="90" w:firstLineChars="50"/>
      <w:jc w:val="left"/>
      <w:rPr>
        <w:rFonts w:hint="eastAsia" w:eastAsia="宋体"/>
        <w:lang w:eastAsia="zh-CN"/>
      </w:rPr>
    </w:pPr>
    <w:r>
      <w:rPr>
        <w:rFonts w:hint="eastAsia" w:cs="宋体"/>
      </w:rPr>
      <w:t>伦理审查申请</w:t>
    </w:r>
    <w:r>
      <w:t>/</w:t>
    </w:r>
    <w:r>
      <w:rPr>
        <w:rFonts w:hint="eastAsia" w:cs="宋体"/>
      </w:rPr>
      <w:t>报告指南</w:t>
    </w:r>
    <w:r>
      <w:rPr>
        <w:rFonts w:hint="eastAsia"/>
      </w:rPr>
      <w:t xml:space="preserve">　 </w:t>
    </w:r>
    <w:r>
      <w:rPr>
        <w:rFonts w:hint="eastAsia"/>
        <w:lang w:val="en-US" w:eastAsia="zh-CN"/>
      </w:rPr>
      <w:t xml:space="preserve">                                            </w:t>
    </w:r>
    <w:r>
      <w:rPr>
        <w:rFonts w:hint="eastAsia"/>
      </w:rPr>
      <w:t xml:space="preserve"> ZN-</w:t>
    </w:r>
    <w:r>
      <w:t>G</w:t>
    </w:r>
    <w:r>
      <w:rPr>
        <w:rFonts w:hint="eastAsia"/>
      </w:rPr>
      <w:t>E</w:t>
    </w:r>
    <w:r>
      <w:t>L/</w:t>
    </w:r>
    <w:r>
      <w:rPr>
        <w:rFonts w:hint="eastAsia"/>
      </w:rPr>
      <w:t>YW/LS</w:t>
    </w:r>
    <w:r>
      <w:t>01</w:t>
    </w:r>
    <w:r>
      <w:rPr>
        <w:rFonts w:hint="eastAsia"/>
      </w:rPr>
      <w:t>-V07.</w:t>
    </w:r>
    <w:r>
      <w:rPr>
        <w:rFonts w:hint="eastAsia"/>
        <w:lang w:val="en-US" w:eastAsia="zh-CN"/>
      </w:rP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F2EE7">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56F5E6">
    <w:pPr>
      <w:pStyle w:val="8"/>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627F18"/>
    <w:multiLevelType w:val="multilevel"/>
    <w:tmpl w:val="2F627F18"/>
    <w:lvl w:ilvl="0" w:tentative="0">
      <w:start w:val="1"/>
      <w:numFmt w:val="bullet"/>
      <w:lvlText w:val=""/>
      <w:lvlJc w:val="left"/>
      <w:pPr>
        <w:tabs>
          <w:tab w:val="left" w:pos="840"/>
        </w:tabs>
        <w:ind w:left="840" w:hanging="420"/>
      </w:pPr>
      <w:rPr>
        <w:rFonts w:hint="default" w:ascii="Wingdings" w:hAnsi="Wingdings"/>
        <w:color w:val="auto"/>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3FA85C82"/>
    <w:multiLevelType w:val="multilevel"/>
    <w:tmpl w:val="3FA85C82"/>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
    <w:nsid w:val="4D4467CD"/>
    <w:multiLevelType w:val="multilevel"/>
    <w:tmpl w:val="4D4467CD"/>
    <w:lvl w:ilvl="0" w:tentative="0">
      <w:start w:val="1"/>
      <w:numFmt w:val="bullet"/>
      <w:lvlText w:val="−"/>
      <w:lvlJc w:val="left"/>
      <w:pPr>
        <w:tabs>
          <w:tab w:val="left" w:pos="1260"/>
        </w:tabs>
        <w:ind w:left="1260" w:hanging="420"/>
      </w:pPr>
      <w:rPr>
        <w:rFonts w:hint="default" w:ascii="cajcd fnta0" w:hAnsi="cajcd fnta0"/>
      </w:rPr>
    </w:lvl>
    <w:lvl w:ilvl="1" w:tentative="0">
      <w:start w:val="1"/>
      <w:numFmt w:val="bullet"/>
      <w:lvlText w:val=""/>
      <w:lvlJc w:val="left"/>
      <w:pPr>
        <w:tabs>
          <w:tab w:val="left" w:pos="862"/>
        </w:tabs>
        <w:ind w:left="862" w:hanging="420"/>
      </w:pPr>
      <w:rPr>
        <w:rFonts w:hint="default" w:ascii="Wingdings" w:hAnsi="Wingdings" w:eastAsia="黑体"/>
        <w:sz w:val="21"/>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E2NmI5ODE4MWMyMDZhNDBiNjE2NDI3ODEwZTI2ODMifQ=="/>
  </w:docVars>
  <w:rsids>
    <w:rsidRoot w:val="00172A27"/>
    <w:rsid w:val="0000237F"/>
    <w:rsid w:val="00004C43"/>
    <w:rsid w:val="00032CD0"/>
    <w:rsid w:val="00045012"/>
    <w:rsid w:val="00045620"/>
    <w:rsid w:val="000528CD"/>
    <w:rsid w:val="000609A0"/>
    <w:rsid w:val="00063596"/>
    <w:rsid w:val="000848C9"/>
    <w:rsid w:val="000C3C50"/>
    <w:rsid w:val="000C7E8D"/>
    <w:rsid w:val="000D2525"/>
    <w:rsid w:val="000E2E7E"/>
    <w:rsid w:val="000E3696"/>
    <w:rsid w:val="00100F3C"/>
    <w:rsid w:val="00145461"/>
    <w:rsid w:val="001554C8"/>
    <w:rsid w:val="00172A27"/>
    <w:rsid w:val="001B0840"/>
    <w:rsid w:val="001C2027"/>
    <w:rsid w:val="001C75EB"/>
    <w:rsid w:val="002077D3"/>
    <w:rsid w:val="00247E1D"/>
    <w:rsid w:val="00250BDA"/>
    <w:rsid w:val="00261566"/>
    <w:rsid w:val="00261EB8"/>
    <w:rsid w:val="0026767D"/>
    <w:rsid w:val="00275D7A"/>
    <w:rsid w:val="00276F4B"/>
    <w:rsid w:val="002829CC"/>
    <w:rsid w:val="0029735C"/>
    <w:rsid w:val="002D2505"/>
    <w:rsid w:val="002D4DF8"/>
    <w:rsid w:val="002F29EA"/>
    <w:rsid w:val="002F3649"/>
    <w:rsid w:val="003238CF"/>
    <w:rsid w:val="00326974"/>
    <w:rsid w:val="00345A08"/>
    <w:rsid w:val="00353DFF"/>
    <w:rsid w:val="00387A00"/>
    <w:rsid w:val="00390740"/>
    <w:rsid w:val="003B554B"/>
    <w:rsid w:val="003C2D2C"/>
    <w:rsid w:val="003F6932"/>
    <w:rsid w:val="0040052D"/>
    <w:rsid w:val="00427F32"/>
    <w:rsid w:val="004337EA"/>
    <w:rsid w:val="00437F8C"/>
    <w:rsid w:val="004829FC"/>
    <w:rsid w:val="004B16AF"/>
    <w:rsid w:val="004B2D64"/>
    <w:rsid w:val="004D7403"/>
    <w:rsid w:val="004E4E0E"/>
    <w:rsid w:val="004F2256"/>
    <w:rsid w:val="004F6C4B"/>
    <w:rsid w:val="004F70B8"/>
    <w:rsid w:val="00531C30"/>
    <w:rsid w:val="00565311"/>
    <w:rsid w:val="005770A5"/>
    <w:rsid w:val="005909F3"/>
    <w:rsid w:val="005B1EBB"/>
    <w:rsid w:val="005D2127"/>
    <w:rsid w:val="005E34D7"/>
    <w:rsid w:val="00625239"/>
    <w:rsid w:val="00630324"/>
    <w:rsid w:val="00630EB7"/>
    <w:rsid w:val="00662922"/>
    <w:rsid w:val="006B66D8"/>
    <w:rsid w:val="006C0F5D"/>
    <w:rsid w:val="006C3264"/>
    <w:rsid w:val="006C3DB6"/>
    <w:rsid w:val="006F143B"/>
    <w:rsid w:val="006F5357"/>
    <w:rsid w:val="006F63CE"/>
    <w:rsid w:val="00703512"/>
    <w:rsid w:val="007049F8"/>
    <w:rsid w:val="00752C14"/>
    <w:rsid w:val="0075548A"/>
    <w:rsid w:val="0075557A"/>
    <w:rsid w:val="00772FE2"/>
    <w:rsid w:val="00773ED2"/>
    <w:rsid w:val="0078396C"/>
    <w:rsid w:val="007A6848"/>
    <w:rsid w:val="007B5DF4"/>
    <w:rsid w:val="007C3335"/>
    <w:rsid w:val="007E193C"/>
    <w:rsid w:val="007F30FC"/>
    <w:rsid w:val="007F73DF"/>
    <w:rsid w:val="008206F2"/>
    <w:rsid w:val="00837DE8"/>
    <w:rsid w:val="00837F7F"/>
    <w:rsid w:val="0085249C"/>
    <w:rsid w:val="00854D1D"/>
    <w:rsid w:val="00861D36"/>
    <w:rsid w:val="00891A91"/>
    <w:rsid w:val="008A0C58"/>
    <w:rsid w:val="008D122A"/>
    <w:rsid w:val="008D7372"/>
    <w:rsid w:val="009145DC"/>
    <w:rsid w:val="009A7C2B"/>
    <w:rsid w:val="009B7954"/>
    <w:rsid w:val="009F0334"/>
    <w:rsid w:val="00A03F4F"/>
    <w:rsid w:val="00A11FE3"/>
    <w:rsid w:val="00A26FD5"/>
    <w:rsid w:val="00A62E55"/>
    <w:rsid w:val="00A71FC5"/>
    <w:rsid w:val="00A72391"/>
    <w:rsid w:val="00A81DE2"/>
    <w:rsid w:val="00AA3DDF"/>
    <w:rsid w:val="00AB5286"/>
    <w:rsid w:val="00AC066B"/>
    <w:rsid w:val="00AC336F"/>
    <w:rsid w:val="00AF14B7"/>
    <w:rsid w:val="00B05A57"/>
    <w:rsid w:val="00B37092"/>
    <w:rsid w:val="00B448C1"/>
    <w:rsid w:val="00B4623A"/>
    <w:rsid w:val="00B56E9D"/>
    <w:rsid w:val="00B63F86"/>
    <w:rsid w:val="00BA7284"/>
    <w:rsid w:val="00BB01A0"/>
    <w:rsid w:val="00BB1072"/>
    <w:rsid w:val="00BB6457"/>
    <w:rsid w:val="00BC2374"/>
    <w:rsid w:val="00BE5B53"/>
    <w:rsid w:val="00BE6F25"/>
    <w:rsid w:val="00BF5240"/>
    <w:rsid w:val="00C05456"/>
    <w:rsid w:val="00C0577F"/>
    <w:rsid w:val="00C071B1"/>
    <w:rsid w:val="00C36CEE"/>
    <w:rsid w:val="00C55A0A"/>
    <w:rsid w:val="00C57266"/>
    <w:rsid w:val="00C60755"/>
    <w:rsid w:val="00C63314"/>
    <w:rsid w:val="00C638D0"/>
    <w:rsid w:val="00C75727"/>
    <w:rsid w:val="00C816CB"/>
    <w:rsid w:val="00C94706"/>
    <w:rsid w:val="00CA1A62"/>
    <w:rsid w:val="00CB6D7D"/>
    <w:rsid w:val="00CF2F0B"/>
    <w:rsid w:val="00D34229"/>
    <w:rsid w:val="00D40713"/>
    <w:rsid w:val="00D5022F"/>
    <w:rsid w:val="00D54586"/>
    <w:rsid w:val="00D605F3"/>
    <w:rsid w:val="00D66BDD"/>
    <w:rsid w:val="00D72DC0"/>
    <w:rsid w:val="00D939B2"/>
    <w:rsid w:val="00D94946"/>
    <w:rsid w:val="00DC0EF9"/>
    <w:rsid w:val="00DC12F5"/>
    <w:rsid w:val="00DE0759"/>
    <w:rsid w:val="00DF241B"/>
    <w:rsid w:val="00DF65C2"/>
    <w:rsid w:val="00E01DF3"/>
    <w:rsid w:val="00E13060"/>
    <w:rsid w:val="00E23AC3"/>
    <w:rsid w:val="00E25039"/>
    <w:rsid w:val="00E47382"/>
    <w:rsid w:val="00E54303"/>
    <w:rsid w:val="00E604B0"/>
    <w:rsid w:val="00E83445"/>
    <w:rsid w:val="00E91916"/>
    <w:rsid w:val="00EB4006"/>
    <w:rsid w:val="00EC6728"/>
    <w:rsid w:val="00ED5821"/>
    <w:rsid w:val="00ED58DB"/>
    <w:rsid w:val="00ED7E01"/>
    <w:rsid w:val="00EF3A23"/>
    <w:rsid w:val="00EF5BF5"/>
    <w:rsid w:val="00F11CD4"/>
    <w:rsid w:val="00F17A2F"/>
    <w:rsid w:val="00F71927"/>
    <w:rsid w:val="00F73F80"/>
    <w:rsid w:val="00F76626"/>
    <w:rsid w:val="00F91C8B"/>
    <w:rsid w:val="00FC4236"/>
    <w:rsid w:val="00FE6F08"/>
    <w:rsid w:val="00FF1A62"/>
    <w:rsid w:val="014E0E8C"/>
    <w:rsid w:val="01695955"/>
    <w:rsid w:val="01826A17"/>
    <w:rsid w:val="020236B3"/>
    <w:rsid w:val="023A4BFB"/>
    <w:rsid w:val="023C66B8"/>
    <w:rsid w:val="026305F6"/>
    <w:rsid w:val="02672D80"/>
    <w:rsid w:val="03F40874"/>
    <w:rsid w:val="0480409E"/>
    <w:rsid w:val="0540391C"/>
    <w:rsid w:val="05812B41"/>
    <w:rsid w:val="059B7DAB"/>
    <w:rsid w:val="064A73D7"/>
    <w:rsid w:val="07397B77"/>
    <w:rsid w:val="07565FDE"/>
    <w:rsid w:val="076D5A73"/>
    <w:rsid w:val="07EF3E8E"/>
    <w:rsid w:val="0A351CCC"/>
    <w:rsid w:val="0A3E3769"/>
    <w:rsid w:val="0A636CB9"/>
    <w:rsid w:val="0AD007F3"/>
    <w:rsid w:val="0BDA2FAB"/>
    <w:rsid w:val="0C48075E"/>
    <w:rsid w:val="0CA23F36"/>
    <w:rsid w:val="0CEA0782"/>
    <w:rsid w:val="0D1E1E06"/>
    <w:rsid w:val="0E02456C"/>
    <w:rsid w:val="0E2055ED"/>
    <w:rsid w:val="0F317386"/>
    <w:rsid w:val="0F6B5ADC"/>
    <w:rsid w:val="10540C60"/>
    <w:rsid w:val="10C61D50"/>
    <w:rsid w:val="10E1785E"/>
    <w:rsid w:val="11357601"/>
    <w:rsid w:val="114C04A7"/>
    <w:rsid w:val="11697B20"/>
    <w:rsid w:val="11B63ED1"/>
    <w:rsid w:val="11BF336F"/>
    <w:rsid w:val="11D32776"/>
    <w:rsid w:val="11E903EC"/>
    <w:rsid w:val="12380A2C"/>
    <w:rsid w:val="12535865"/>
    <w:rsid w:val="135E3453"/>
    <w:rsid w:val="13E76D76"/>
    <w:rsid w:val="145A2EDB"/>
    <w:rsid w:val="14CD18FF"/>
    <w:rsid w:val="14DF1632"/>
    <w:rsid w:val="15123D07"/>
    <w:rsid w:val="15D05B4B"/>
    <w:rsid w:val="15EB4733"/>
    <w:rsid w:val="16013F56"/>
    <w:rsid w:val="16753FFC"/>
    <w:rsid w:val="1696199B"/>
    <w:rsid w:val="16A94D79"/>
    <w:rsid w:val="1702234F"/>
    <w:rsid w:val="172D2B29"/>
    <w:rsid w:val="185D5EEA"/>
    <w:rsid w:val="18E436BB"/>
    <w:rsid w:val="190D31BC"/>
    <w:rsid w:val="19520625"/>
    <w:rsid w:val="19616ABA"/>
    <w:rsid w:val="19C60EBA"/>
    <w:rsid w:val="1A7F4D44"/>
    <w:rsid w:val="1B142779"/>
    <w:rsid w:val="1B245FF1"/>
    <w:rsid w:val="1B331B34"/>
    <w:rsid w:val="1B34092A"/>
    <w:rsid w:val="1B61067A"/>
    <w:rsid w:val="1B8151F1"/>
    <w:rsid w:val="1BA809D0"/>
    <w:rsid w:val="1BCF41AF"/>
    <w:rsid w:val="1C0025BA"/>
    <w:rsid w:val="1C536B8E"/>
    <w:rsid w:val="1CA94A00"/>
    <w:rsid w:val="1E1409F0"/>
    <w:rsid w:val="1E6D6784"/>
    <w:rsid w:val="1E85324A"/>
    <w:rsid w:val="1E984D2C"/>
    <w:rsid w:val="1ED65854"/>
    <w:rsid w:val="1EFB5963"/>
    <w:rsid w:val="1F3F33F9"/>
    <w:rsid w:val="1FD004F5"/>
    <w:rsid w:val="20B53349"/>
    <w:rsid w:val="21110DC5"/>
    <w:rsid w:val="21246D4B"/>
    <w:rsid w:val="21D818E3"/>
    <w:rsid w:val="21F93D33"/>
    <w:rsid w:val="22B67C9B"/>
    <w:rsid w:val="23A44173"/>
    <w:rsid w:val="23E97DD8"/>
    <w:rsid w:val="240D3AC6"/>
    <w:rsid w:val="24A24B56"/>
    <w:rsid w:val="24BA6A76"/>
    <w:rsid w:val="25A0096A"/>
    <w:rsid w:val="25C12DBA"/>
    <w:rsid w:val="27E965F8"/>
    <w:rsid w:val="281F201A"/>
    <w:rsid w:val="289E73E3"/>
    <w:rsid w:val="295201CD"/>
    <w:rsid w:val="29543F45"/>
    <w:rsid w:val="29763EBB"/>
    <w:rsid w:val="29787C34"/>
    <w:rsid w:val="29C4128E"/>
    <w:rsid w:val="29D86924"/>
    <w:rsid w:val="29DA2F4C"/>
    <w:rsid w:val="2A4B17EC"/>
    <w:rsid w:val="2ABF53BE"/>
    <w:rsid w:val="2B0379D1"/>
    <w:rsid w:val="2BAF510D"/>
    <w:rsid w:val="2BF01705"/>
    <w:rsid w:val="2BFC5CD2"/>
    <w:rsid w:val="2C293467"/>
    <w:rsid w:val="2CD5539D"/>
    <w:rsid w:val="2CF41CC7"/>
    <w:rsid w:val="2D0568E8"/>
    <w:rsid w:val="2D8A43D9"/>
    <w:rsid w:val="2D990AC0"/>
    <w:rsid w:val="2E553839"/>
    <w:rsid w:val="2E5B7B24"/>
    <w:rsid w:val="2E6115DE"/>
    <w:rsid w:val="2EBA6F40"/>
    <w:rsid w:val="2EBC05C2"/>
    <w:rsid w:val="2F2409EE"/>
    <w:rsid w:val="2F3D32C3"/>
    <w:rsid w:val="2FB01D49"/>
    <w:rsid w:val="2FC040E2"/>
    <w:rsid w:val="308807F2"/>
    <w:rsid w:val="30E56CE8"/>
    <w:rsid w:val="30F56416"/>
    <w:rsid w:val="31F462C5"/>
    <w:rsid w:val="320D043C"/>
    <w:rsid w:val="32FC175E"/>
    <w:rsid w:val="335C5C3E"/>
    <w:rsid w:val="33BF2903"/>
    <w:rsid w:val="33F64FDF"/>
    <w:rsid w:val="347A51A5"/>
    <w:rsid w:val="348558FB"/>
    <w:rsid w:val="34AE30A3"/>
    <w:rsid w:val="34EC3BCC"/>
    <w:rsid w:val="35CC0D64"/>
    <w:rsid w:val="35CE6E2D"/>
    <w:rsid w:val="360B1E2F"/>
    <w:rsid w:val="36462E68"/>
    <w:rsid w:val="379C259E"/>
    <w:rsid w:val="37A91144"/>
    <w:rsid w:val="37C16C4A"/>
    <w:rsid w:val="37E172EC"/>
    <w:rsid w:val="38B14F10"/>
    <w:rsid w:val="391334D5"/>
    <w:rsid w:val="39440601"/>
    <w:rsid w:val="39DE1D35"/>
    <w:rsid w:val="3A3F02FA"/>
    <w:rsid w:val="3A5F274A"/>
    <w:rsid w:val="3AC3717D"/>
    <w:rsid w:val="3B6E2210"/>
    <w:rsid w:val="3BFF2CCC"/>
    <w:rsid w:val="3C0C7568"/>
    <w:rsid w:val="3C5C5193"/>
    <w:rsid w:val="3C8A61A4"/>
    <w:rsid w:val="3C9506A5"/>
    <w:rsid w:val="3CE31410"/>
    <w:rsid w:val="3D8E75CE"/>
    <w:rsid w:val="3E8E35FE"/>
    <w:rsid w:val="3E9230EE"/>
    <w:rsid w:val="3E95498C"/>
    <w:rsid w:val="3E990920"/>
    <w:rsid w:val="3F261B31"/>
    <w:rsid w:val="3F2A0467"/>
    <w:rsid w:val="3F732F1F"/>
    <w:rsid w:val="40CB0B39"/>
    <w:rsid w:val="41456B3D"/>
    <w:rsid w:val="41614FF9"/>
    <w:rsid w:val="41C55588"/>
    <w:rsid w:val="42C54D87"/>
    <w:rsid w:val="42C57F36"/>
    <w:rsid w:val="42E61C5A"/>
    <w:rsid w:val="434A7134"/>
    <w:rsid w:val="43563D68"/>
    <w:rsid w:val="43EE7018"/>
    <w:rsid w:val="44044A8E"/>
    <w:rsid w:val="441F3676"/>
    <w:rsid w:val="44667AA4"/>
    <w:rsid w:val="447D214A"/>
    <w:rsid w:val="45482758"/>
    <w:rsid w:val="457C4AF8"/>
    <w:rsid w:val="459B1F40"/>
    <w:rsid w:val="45A602D1"/>
    <w:rsid w:val="462D0308"/>
    <w:rsid w:val="46393313"/>
    <w:rsid w:val="473D7078"/>
    <w:rsid w:val="47835CCA"/>
    <w:rsid w:val="47E36768"/>
    <w:rsid w:val="47F44E19"/>
    <w:rsid w:val="488C1150"/>
    <w:rsid w:val="495042D1"/>
    <w:rsid w:val="499C3073"/>
    <w:rsid w:val="49CF51F6"/>
    <w:rsid w:val="49E8450A"/>
    <w:rsid w:val="4A2F7567"/>
    <w:rsid w:val="4AC62A9D"/>
    <w:rsid w:val="4BBB6858"/>
    <w:rsid w:val="4C855396"/>
    <w:rsid w:val="4D265A75"/>
    <w:rsid w:val="4DBA79D2"/>
    <w:rsid w:val="4E7101C1"/>
    <w:rsid w:val="4E742C6F"/>
    <w:rsid w:val="4ECE1A58"/>
    <w:rsid w:val="4F021BCA"/>
    <w:rsid w:val="4F3A75B6"/>
    <w:rsid w:val="4FAF1E37"/>
    <w:rsid w:val="50577CF3"/>
    <w:rsid w:val="50B769E4"/>
    <w:rsid w:val="50E4598A"/>
    <w:rsid w:val="5107130D"/>
    <w:rsid w:val="51D40C49"/>
    <w:rsid w:val="51DD75E8"/>
    <w:rsid w:val="52326C6A"/>
    <w:rsid w:val="52711D0D"/>
    <w:rsid w:val="52B72CCB"/>
    <w:rsid w:val="52FC0578"/>
    <w:rsid w:val="541C4B17"/>
    <w:rsid w:val="543F4611"/>
    <w:rsid w:val="552B1DC7"/>
    <w:rsid w:val="55D818D6"/>
    <w:rsid w:val="56352885"/>
    <w:rsid w:val="56356D29"/>
    <w:rsid w:val="566211AB"/>
    <w:rsid w:val="56D93B58"/>
    <w:rsid w:val="56DF0A43"/>
    <w:rsid w:val="56E322E1"/>
    <w:rsid w:val="56E7369C"/>
    <w:rsid w:val="56E9366F"/>
    <w:rsid w:val="57283E0B"/>
    <w:rsid w:val="5794182D"/>
    <w:rsid w:val="589B2A70"/>
    <w:rsid w:val="58EB36CF"/>
    <w:rsid w:val="58F033DB"/>
    <w:rsid w:val="591D4C90"/>
    <w:rsid w:val="599D5E6D"/>
    <w:rsid w:val="59CC52AE"/>
    <w:rsid w:val="5A006E37"/>
    <w:rsid w:val="5A6C4CE3"/>
    <w:rsid w:val="5A7A7944"/>
    <w:rsid w:val="5AB30EF5"/>
    <w:rsid w:val="5AC445F6"/>
    <w:rsid w:val="5B093D62"/>
    <w:rsid w:val="5B70610D"/>
    <w:rsid w:val="5BB562B5"/>
    <w:rsid w:val="5C7560D1"/>
    <w:rsid w:val="5C7774D3"/>
    <w:rsid w:val="5CAA2278"/>
    <w:rsid w:val="5CCC024F"/>
    <w:rsid w:val="5D2E6FEF"/>
    <w:rsid w:val="5E0D40E7"/>
    <w:rsid w:val="5E7B72A3"/>
    <w:rsid w:val="5E99597B"/>
    <w:rsid w:val="5F445FE4"/>
    <w:rsid w:val="5F795ED8"/>
    <w:rsid w:val="5FCE3E5E"/>
    <w:rsid w:val="60B46A9C"/>
    <w:rsid w:val="60BA07D1"/>
    <w:rsid w:val="60E94998"/>
    <w:rsid w:val="60F575BC"/>
    <w:rsid w:val="61447E20"/>
    <w:rsid w:val="61AB60F1"/>
    <w:rsid w:val="61E77C48"/>
    <w:rsid w:val="620D46B6"/>
    <w:rsid w:val="62214605"/>
    <w:rsid w:val="62314848"/>
    <w:rsid w:val="625E7607"/>
    <w:rsid w:val="6301402A"/>
    <w:rsid w:val="63306635"/>
    <w:rsid w:val="63A454EE"/>
    <w:rsid w:val="63C44F2D"/>
    <w:rsid w:val="6454481E"/>
    <w:rsid w:val="64751489"/>
    <w:rsid w:val="650D2C1F"/>
    <w:rsid w:val="652E32C1"/>
    <w:rsid w:val="653D69A4"/>
    <w:rsid w:val="65572E1A"/>
    <w:rsid w:val="656C5B97"/>
    <w:rsid w:val="65A922C3"/>
    <w:rsid w:val="65BF660F"/>
    <w:rsid w:val="65F55B8D"/>
    <w:rsid w:val="6618187B"/>
    <w:rsid w:val="66581CFF"/>
    <w:rsid w:val="67F33A1A"/>
    <w:rsid w:val="68295FC1"/>
    <w:rsid w:val="6850354E"/>
    <w:rsid w:val="68582403"/>
    <w:rsid w:val="687C45EC"/>
    <w:rsid w:val="692D388F"/>
    <w:rsid w:val="69EE301F"/>
    <w:rsid w:val="6A7259FE"/>
    <w:rsid w:val="6AB07F6E"/>
    <w:rsid w:val="6B146AB5"/>
    <w:rsid w:val="6B1940CB"/>
    <w:rsid w:val="6B4209A1"/>
    <w:rsid w:val="6B4E646B"/>
    <w:rsid w:val="6BC8789F"/>
    <w:rsid w:val="6C094140"/>
    <w:rsid w:val="6C9F4AA4"/>
    <w:rsid w:val="6CFC3B47"/>
    <w:rsid w:val="6E364F94"/>
    <w:rsid w:val="70052E70"/>
    <w:rsid w:val="70433998"/>
    <w:rsid w:val="704F2768"/>
    <w:rsid w:val="70716758"/>
    <w:rsid w:val="716E0F92"/>
    <w:rsid w:val="71867FE1"/>
    <w:rsid w:val="71BC7EA6"/>
    <w:rsid w:val="725D3437"/>
    <w:rsid w:val="727A4033"/>
    <w:rsid w:val="72A53834"/>
    <w:rsid w:val="72F571CC"/>
    <w:rsid w:val="732E6B82"/>
    <w:rsid w:val="735E1215"/>
    <w:rsid w:val="73614861"/>
    <w:rsid w:val="736D3206"/>
    <w:rsid w:val="73FD7457"/>
    <w:rsid w:val="74147B26"/>
    <w:rsid w:val="74842EFD"/>
    <w:rsid w:val="74C27E2A"/>
    <w:rsid w:val="75A21BEF"/>
    <w:rsid w:val="75AF5D58"/>
    <w:rsid w:val="75DA08FB"/>
    <w:rsid w:val="765F728E"/>
    <w:rsid w:val="76B344CD"/>
    <w:rsid w:val="76D90992"/>
    <w:rsid w:val="76E732D0"/>
    <w:rsid w:val="774C6969"/>
    <w:rsid w:val="77535BFA"/>
    <w:rsid w:val="77F51A1C"/>
    <w:rsid w:val="78587992"/>
    <w:rsid w:val="786F5DCA"/>
    <w:rsid w:val="78E35D19"/>
    <w:rsid w:val="794706C1"/>
    <w:rsid w:val="79492020"/>
    <w:rsid w:val="79AC309D"/>
    <w:rsid w:val="7A206027"/>
    <w:rsid w:val="7AE91D0C"/>
    <w:rsid w:val="7B51340D"/>
    <w:rsid w:val="7B9B28DB"/>
    <w:rsid w:val="7C0B43F6"/>
    <w:rsid w:val="7C5807CC"/>
    <w:rsid w:val="7C6D4277"/>
    <w:rsid w:val="7CD95DB0"/>
    <w:rsid w:val="7D1144BC"/>
    <w:rsid w:val="7D831878"/>
    <w:rsid w:val="7DE77EA8"/>
    <w:rsid w:val="7E1352F2"/>
    <w:rsid w:val="7E4C6474"/>
    <w:rsid w:val="7E551467"/>
    <w:rsid w:val="7EBC3294"/>
    <w:rsid w:val="7FD91C23"/>
    <w:rsid w:val="7FDD51FF"/>
    <w:rsid w:val="7FE34DA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0"/>
    <w:autoRedefine/>
    <w:qFormat/>
    <w:uiPriority w:val="0"/>
    <w:pPr>
      <w:keepNext/>
      <w:keepLines/>
      <w:spacing w:before="100" w:beforeAutospacing="1" w:after="120"/>
      <w:outlineLvl w:val="0"/>
    </w:pPr>
    <w:rPr>
      <w:rFonts w:eastAsia="黑体"/>
      <w:bCs/>
      <w:kern w:val="44"/>
      <w:szCs w:val="44"/>
    </w:rPr>
  </w:style>
  <w:style w:type="paragraph" w:styleId="3">
    <w:name w:val="heading 2"/>
    <w:basedOn w:val="1"/>
    <w:next w:val="1"/>
    <w:link w:val="21"/>
    <w:semiHidden/>
    <w:unhideWhenUsed/>
    <w:qFormat/>
    <w:uiPriority w:val="0"/>
    <w:pPr>
      <w:keepNext/>
      <w:keepLines/>
      <w:spacing w:before="260" w:after="260" w:line="416" w:lineRule="auto"/>
      <w:outlineLvl w:val="1"/>
    </w:pPr>
    <w:rPr>
      <w:rFonts w:ascii="等线 Light" w:hAnsi="等线 Light" w:eastAsia="等线 Light"/>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6"/>
    <w:qFormat/>
    <w:uiPriority w:val="0"/>
    <w:pPr>
      <w:jc w:val="left"/>
    </w:pPr>
  </w:style>
  <w:style w:type="paragraph" w:styleId="5">
    <w:name w:val="Body Text Indent"/>
    <w:basedOn w:val="1"/>
    <w:link w:val="16"/>
    <w:autoRedefine/>
    <w:qFormat/>
    <w:uiPriority w:val="0"/>
    <w:pPr>
      <w:ind w:firstLine="420" w:firstLineChars="200"/>
    </w:pPr>
  </w:style>
  <w:style w:type="paragraph" w:styleId="6">
    <w:name w:val="Balloon Text"/>
    <w:basedOn w:val="1"/>
    <w:semiHidden/>
    <w:qFormat/>
    <w:uiPriority w:val="0"/>
    <w:rPr>
      <w:sz w:val="18"/>
      <w:szCs w:val="18"/>
    </w:rPr>
  </w:style>
  <w:style w:type="paragraph" w:styleId="7">
    <w:name w:val="footer"/>
    <w:basedOn w:val="1"/>
    <w:link w:val="17"/>
    <w:autoRedefine/>
    <w:qFormat/>
    <w:uiPriority w:val="0"/>
    <w:pPr>
      <w:tabs>
        <w:tab w:val="center" w:pos="4153"/>
        <w:tab w:val="right" w:pos="8306"/>
      </w:tabs>
      <w:snapToGrid w:val="0"/>
      <w:jc w:val="left"/>
    </w:pPr>
    <w:rPr>
      <w:sz w:val="18"/>
      <w:szCs w:val="18"/>
    </w:rPr>
  </w:style>
  <w:style w:type="paragraph" w:styleId="8">
    <w:name w:val="header"/>
    <w:basedOn w:val="1"/>
    <w:link w:val="18"/>
    <w:autoRedefine/>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qFormat/>
    <w:uiPriority w:val="39"/>
  </w:style>
  <w:style w:type="paragraph" w:styleId="10">
    <w:name w:val="toc 2"/>
    <w:basedOn w:val="1"/>
    <w:next w:val="1"/>
    <w:autoRedefine/>
    <w:qFormat/>
    <w:uiPriority w:val="39"/>
    <w:pPr>
      <w:ind w:left="420" w:leftChars="200"/>
    </w:pPr>
  </w:style>
  <w:style w:type="paragraph" w:styleId="11">
    <w:name w:val="annotation subject"/>
    <w:basedOn w:val="4"/>
    <w:next w:val="4"/>
    <w:link w:val="27"/>
    <w:qFormat/>
    <w:uiPriority w:val="0"/>
    <w:rPr>
      <w:b/>
      <w:bCs/>
    </w:rPr>
  </w:style>
  <w:style w:type="character" w:styleId="14">
    <w:name w:val="Hyperlink"/>
    <w:autoRedefine/>
    <w:unhideWhenUsed/>
    <w:qFormat/>
    <w:uiPriority w:val="99"/>
    <w:rPr>
      <w:color w:val="0563C1"/>
      <w:u w:val="single"/>
    </w:rPr>
  </w:style>
  <w:style w:type="character" w:styleId="15">
    <w:name w:val="annotation reference"/>
    <w:basedOn w:val="13"/>
    <w:qFormat/>
    <w:uiPriority w:val="0"/>
    <w:rPr>
      <w:sz w:val="21"/>
      <w:szCs w:val="21"/>
    </w:rPr>
  </w:style>
  <w:style w:type="character" w:customStyle="1" w:styleId="16">
    <w:name w:val="正文文本缩进 Char"/>
    <w:link w:val="5"/>
    <w:qFormat/>
    <w:locked/>
    <w:uiPriority w:val="0"/>
    <w:rPr>
      <w:rFonts w:eastAsia="宋体"/>
      <w:kern w:val="2"/>
      <w:sz w:val="21"/>
      <w:szCs w:val="21"/>
      <w:lang w:val="en-US" w:eastAsia="zh-CN" w:bidi="ar-SA"/>
    </w:rPr>
  </w:style>
  <w:style w:type="character" w:customStyle="1" w:styleId="17">
    <w:name w:val="页脚 Char"/>
    <w:link w:val="7"/>
    <w:autoRedefine/>
    <w:qFormat/>
    <w:locked/>
    <w:uiPriority w:val="0"/>
    <w:rPr>
      <w:rFonts w:eastAsia="宋体"/>
      <w:kern w:val="2"/>
      <w:sz w:val="18"/>
      <w:szCs w:val="18"/>
      <w:lang w:val="en-US" w:eastAsia="zh-CN" w:bidi="ar-SA"/>
    </w:rPr>
  </w:style>
  <w:style w:type="character" w:customStyle="1" w:styleId="18">
    <w:name w:val="页眉 Char"/>
    <w:link w:val="8"/>
    <w:autoRedefine/>
    <w:qFormat/>
    <w:locked/>
    <w:uiPriority w:val="0"/>
    <w:rPr>
      <w:rFonts w:eastAsia="宋体"/>
      <w:kern w:val="2"/>
      <w:sz w:val="18"/>
      <w:szCs w:val="18"/>
      <w:lang w:val="en-US" w:eastAsia="zh-CN" w:bidi="ar-SA"/>
    </w:rPr>
  </w:style>
  <w:style w:type="paragraph" w:customStyle="1" w:styleId="19">
    <w:name w:val="修订1"/>
    <w:autoRedefine/>
    <w:unhideWhenUsed/>
    <w:qFormat/>
    <w:uiPriority w:val="99"/>
    <w:rPr>
      <w:rFonts w:ascii="Times New Roman" w:hAnsi="Times New Roman" w:eastAsia="宋体" w:cs="Times New Roman"/>
      <w:kern w:val="2"/>
      <w:sz w:val="21"/>
      <w:szCs w:val="21"/>
      <w:lang w:val="en-US" w:eastAsia="zh-CN" w:bidi="ar-SA"/>
    </w:rPr>
  </w:style>
  <w:style w:type="character" w:customStyle="1" w:styleId="20">
    <w:name w:val="标题 1 Char"/>
    <w:link w:val="2"/>
    <w:autoRedefine/>
    <w:qFormat/>
    <w:uiPriority w:val="0"/>
    <w:rPr>
      <w:rFonts w:eastAsia="黑体"/>
      <w:bCs/>
      <w:kern w:val="44"/>
      <w:sz w:val="21"/>
      <w:szCs w:val="44"/>
    </w:rPr>
  </w:style>
  <w:style w:type="character" w:customStyle="1" w:styleId="21">
    <w:name w:val="标题 2 Char"/>
    <w:link w:val="3"/>
    <w:semiHidden/>
    <w:qFormat/>
    <w:uiPriority w:val="0"/>
    <w:rPr>
      <w:rFonts w:ascii="等线 Light" w:hAnsi="等线 Light" w:eastAsia="等线 Light" w:cs="Times New Roman"/>
      <w:b/>
      <w:bCs/>
      <w:kern w:val="2"/>
      <w:sz w:val="32"/>
      <w:szCs w:val="32"/>
    </w:rPr>
  </w:style>
  <w:style w:type="paragraph" w:customStyle="1" w:styleId="22">
    <w:name w:val="样式 标题 2 + (西文) Times New Roman (中文) 宋体 五号 非加粗"/>
    <w:basedOn w:val="3"/>
    <w:autoRedefine/>
    <w:qFormat/>
    <w:uiPriority w:val="0"/>
    <w:pPr>
      <w:spacing w:before="0" w:after="0" w:line="240" w:lineRule="auto"/>
    </w:pPr>
    <w:rPr>
      <w:rFonts w:ascii="Times New Roman" w:hAnsi="Times New Roman" w:eastAsia="宋体"/>
      <w:b w:val="0"/>
      <w:bCs w:val="0"/>
      <w:sz w:val="21"/>
    </w:rPr>
  </w:style>
  <w:style w:type="paragraph" w:customStyle="1" w:styleId="23">
    <w:name w:val="TOC 标题1"/>
    <w:basedOn w:val="2"/>
    <w:next w:val="1"/>
    <w:autoRedefine/>
    <w:unhideWhenUsed/>
    <w:qFormat/>
    <w:uiPriority w:val="39"/>
    <w:pPr>
      <w:widowControl/>
      <w:spacing w:before="240" w:beforeAutospacing="0" w:after="0" w:line="259" w:lineRule="auto"/>
      <w:jc w:val="left"/>
      <w:outlineLvl w:val="9"/>
    </w:pPr>
    <w:rPr>
      <w:rFonts w:ascii="等线 Light" w:hAnsi="等线 Light" w:eastAsia="等线 Light"/>
      <w:bCs w:val="0"/>
      <w:color w:val="2E74B5"/>
      <w:kern w:val="0"/>
      <w:sz w:val="32"/>
      <w:szCs w:val="32"/>
    </w:rPr>
  </w:style>
  <w:style w:type="paragraph" w:styleId="24">
    <w:name w:val="List Paragraph"/>
    <w:basedOn w:val="1"/>
    <w:qFormat/>
    <w:uiPriority w:val="99"/>
    <w:pPr>
      <w:ind w:firstLine="420" w:firstLineChars="200"/>
    </w:pPr>
  </w:style>
  <w:style w:type="paragraph" w:customStyle="1" w:styleId="25">
    <w:name w:val="修订2"/>
    <w:hidden/>
    <w:unhideWhenUsed/>
    <w:qFormat/>
    <w:uiPriority w:val="99"/>
    <w:rPr>
      <w:rFonts w:ascii="Times New Roman" w:hAnsi="Times New Roman" w:eastAsia="宋体" w:cs="Times New Roman"/>
      <w:kern w:val="2"/>
      <w:sz w:val="21"/>
      <w:szCs w:val="21"/>
      <w:lang w:val="en-US" w:eastAsia="zh-CN" w:bidi="ar-SA"/>
    </w:rPr>
  </w:style>
  <w:style w:type="character" w:customStyle="1" w:styleId="26">
    <w:name w:val="批注文字 Char"/>
    <w:basedOn w:val="13"/>
    <w:link w:val="4"/>
    <w:qFormat/>
    <w:uiPriority w:val="0"/>
    <w:rPr>
      <w:kern w:val="2"/>
      <w:sz w:val="21"/>
      <w:szCs w:val="21"/>
    </w:rPr>
  </w:style>
  <w:style w:type="character" w:customStyle="1" w:styleId="27">
    <w:name w:val="批注主题 Char"/>
    <w:basedOn w:val="26"/>
    <w:link w:val="11"/>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5429</Words>
  <Characters>6405</Characters>
  <Lines>55</Lines>
  <Paragraphs>15</Paragraphs>
  <TotalTime>2</TotalTime>
  <ScaleCrop>false</ScaleCrop>
  <LinksUpToDate>false</LinksUpToDate>
  <CharactersWithSpaces>6522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2025-08-08T02:35:00Z</dcterms:created>
  <dc:creator>庞玲</dc:creator>
  <cp:lastModifiedBy>小蔡</cp:lastModifiedBy>
  <cp:lastPrinted>2025-08-11T06:59:00Z</cp:lastPrinted>
  <dcterms:modified xsi:type="dcterms:W3CDTF">2025-09-03T02:12:17Z</dcterms:modified>
  <dc:title>江苏省疾病预防控制中心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6F8C5F7C1DB4487A99F057819FB9D6C1</vt:lpwstr>
  </property>
  <property fmtid="{D5CDD505-2E9C-101B-9397-08002B2CF9AE}" pid="4" name="KSOTemplateDocerSaveRecord">
    <vt:lpwstr>eyJoZGlkIjoiZWE2NmI5ODE4MWMyMDZhNDBiNjE2NDI3ODEwZTI2ODMiLCJ1c2VySWQiOiIyODg4MjQ1MDEifQ==</vt:lpwstr>
  </property>
</Properties>
</file>